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Overskrift1"/>
        <w:rPr>
          <w:color w:val="000000"/>
        </w:rPr>
        <w:spacing/>
      </w:pPr>
      <w:r>
        <w:rPr/>
        <w:t xml:space="preserve">Prosedyre </w:t>
      </w:r>
      <w:r>
        <w:rPr/>
        <w:t xml:space="preserve">I</w:t>
      </w:r>
      <w:r>
        <w:rPr/>
        <w:t xml:space="preserve">nnsynsbegjæring</w:t>
      </w:r>
    </w:p>
    <w:p>
      <w:pPr>
        <w:pStyle w:val="Overskrift1"/>
        <w:rPr/>
        <w:spacing/>
      </w:pPr>
      <w:r>
        <w:rPr/>
        <w:t xml:space="preserve">Hensikt</w:t>
      </w:r>
    </w:p>
    <w:p>
      <w:pPr>
        <w:rPr>
          <w:color w:val="000000"/>
        </w:rPr>
        <w:spacing/>
      </w:pPr>
      <w:r>
        <w:rPr>
          <w:color w:val="000000"/>
        </w:rPr>
        <w:t xml:space="preserve">Sikre at dokumenter som har gradering i følge lover og forskrifter kan gis innsyn, ev</w:t>
      </w:r>
      <w:r>
        <w:rPr>
          <w:color w:val="000000"/>
        </w:rPr>
        <w:t xml:space="preserve">t.</w:t>
      </w:r>
      <w:r>
        <w:rPr>
          <w:color w:val="000000"/>
        </w:rPr>
        <w:t xml:space="preserve"> gradert innsyn.</w:t>
      </w:r>
    </w:p>
    <w:p>
      <w:pPr>
        <w:pStyle w:val="Overskrift1"/>
        <w:rPr/>
        <w:spacing/>
      </w:pPr>
      <w:r>
        <w:rPr/>
        <w:t xml:space="preserve">Ansvar og myndighet</w:t>
      </w:r>
    </w:p>
    <w:p>
      <w:pPr>
        <w:rPr>
          <w:color w:val="000000"/>
        </w:rPr>
        <w:spacing/>
        <w:autoSpaceDE w:val="false"/>
        <w:autoSpaceDN w:val="false"/>
        <w:adjustRightInd w:val="false"/>
      </w:pPr>
      <w:r>
        <w:rPr>
          <w:b/>
          <w:color w:val="000000"/>
        </w:rPr>
        <w:t xml:space="preserve">Saksansvarlig er </w:t>
      </w:r>
      <w:r>
        <w:rPr>
          <w:color w:val="000000"/>
        </w:rPr>
        <w:t xml:space="preserve">ansvarlig </w:t>
      </w:r>
      <w:r>
        <w:rPr>
          <w:color w:val="000000"/>
        </w:rPr>
        <w:t xml:space="preserve"> </w:t>
      </w:r>
      <w:r>
        <w:rPr>
          <w:color w:val="000000"/>
        </w:rPr>
        <w:t xml:space="preserve">for at saksbehandlingen i egen enhet/virksomhet gjennomføres i henhold til denne prosedyren</w:t>
      </w:r>
      <w:r>
        <w:rPr>
          <w:color w:val="000000"/>
        </w:rPr>
        <w:t xml:space="preserve">.</w:t>
      </w:r>
    </w:p>
    <w:p>
      <w:pPr>
        <w:rPr>
          <w:color w:val="000000"/>
        </w:rPr>
        <w:spacing/>
        <w:autoSpaceDE w:val="false"/>
        <w:autoSpaceDN w:val="false"/>
        <w:adjustRightInd w:val="false"/>
      </w:pPr>
      <w:r>
        <w:rPr>
          <w:b/>
          <w:color w:val="000000"/>
        </w:rPr>
        <w:t xml:space="preserve">Dokumentsenteret</w:t>
      </w:r>
      <w:r>
        <w:rPr>
          <w:color w:val="000000"/>
        </w:rPr>
        <w:br/>
      </w:r>
      <w:r>
        <w:rPr>
          <w:color w:val="000000"/>
        </w:rPr>
        <w:t xml:space="preserve">Kvalitet sikrer postl</w:t>
      </w:r>
      <w:r>
        <w:rPr>
          <w:color w:val="000000"/>
        </w:rPr>
        <w:t xml:space="preserve">isten for å se om det er skrive</w:t>
      </w:r>
      <w:r>
        <w:rPr>
          <w:color w:val="000000"/>
        </w:rPr>
        <w:t xml:space="preserve">feil eller om det er noe som skal unntas fra offentligheten.</w:t>
      </w:r>
    </w:p>
    <w:p>
      <w:pPr>
        <w:pStyle w:val="Overskrift1"/>
        <w:rPr/>
        <w:spacing/>
      </w:pPr>
      <w:r>
        <w:rPr/>
        <w:t xml:space="preserve">Gjennomføring</w:t>
      </w:r>
    </w:p>
    <w:p>
      <w:pPr>
        <w:rPr>
          <w:sz w:val="24"/>
          <w:color w:val="000000"/>
        </w:rPr>
        <w:spacing w:line="240" w:lineRule="exact"/>
      </w:pPr>
      <w:r>
        <w:rPr>
          <w:sz w:val="24"/>
          <w:color w:val="000000"/>
        </w:rPr>
        <w:t xml:space="preserve">Når </w:t>
      </w:r>
      <w:r>
        <w:rPr>
          <w:sz w:val="24"/>
          <w:color w:val="000000"/>
        </w:rPr>
        <w:t xml:space="preserve">en</w:t>
      </w:r>
      <w:r>
        <w:rPr>
          <w:sz w:val="24"/>
          <w:color w:val="000000"/>
        </w:rPr>
        <w:t xml:space="preserve"> innsynsbegjæring fra presse/publikum </w:t>
      </w:r>
      <w:r>
        <w:rPr>
          <w:sz w:val="24"/>
          <w:color w:val="000000"/>
        </w:rPr>
        <w:t xml:space="preserve">mottas, </w:t>
      </w:r>
      <w:r>
        <w:rPr>
          <w:sz w:val="24"/>
          <w:color w:val="000000"/>
        </w:rPr>
        <w:t xml:space="preserve">skal følgende skje:</w:t>
      </w:r>
    </w:p>
    <w:p>
      <w:pPr>
        <w:rPr>
          <w:sz w:val="24"/>
          <w:i/>
          <w:iCs/>
          <w:color w:val="000000"/>
        </w:rPr>
        <w:spacing w:line="240" w:lineRule="exact"/>
      </w:pPr>
      <w:r>
        <w:rPr>
          <w:sz w:val="24"/>
          <w:i/>
          <w:iCs/>
          <w:color w:val="000000"/>
        </w:rPr>
        <w:t xml:space="preserve">Innsynsbegjæringer skal normalt</w:t>
      </w:r>
      <w:r>
        <w:rPr>
          <w:sz w:val="24"/>
          <w:i/>
          <w:iCs/>
          <w:color w:val="000000"/>
        </w:rPr>
        <w:t xml:space="preserve"> avgjøres innen 1-3 virkedager.</w:t>
      </w:r>
      <w:r>
        <w:rPr>
          <w:sz w:val="24"/>
          <w:i/>
          <w:iCs/>
          <w:color w:val="000000"/>
        </w:rPr>
        <w:t xml:space="preserve"> (Hvis ikke innsynsbegjæringen besvares innen 1-3 virkedager, betegnes dette som avslag.)</w:t>
      </w:r>
    </w:p>
    <w:p>
      <w:pPr>
        <w:rPr>
          <w:sz w:val="24"/>
          <w:iCs/>
          <w:color w:val="000000"/>
        </w:rPr>
        <w:spacing w:line="240" w:lineRule="exact"/>
      </w:pPr>
    </w:p>
    <w:tbl>
      <w:tblPr>
        <w:tblLook w:val="04A0" w:firstRow="1" w:lastRow="0" w:firstColumn="1" w:lastColumn="0" w:noHBand="0" w:noVBand="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jc w:val="left"/>
        <w:tblW w:w="5000" w:type="pct"/>
      </w:tblPr>
      <w:tblGrid>
        <w:gridCol w:w="694"/>
        <w:gridCol w:w="7152"/>
        <w:gridCol w:w="1440"/>
      </w:tblGrid>
      <w:tr>
        <w:trPr>
          <w:trHeight w:val="303" w:hRule="atLeast"/>
        </w:trPr>
        <w:tc>
          <w:tcPr>
            <w:tcW w:type="pct" w:w="374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Trinn</w:t>
            </w:r>
          </w:p>
        </w:tc>
        <w:tc>
          <w:tcPr>
            <w:tcW w:type="pct" w:w="3851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Aktivitet, handling, beskrivelse</w:t>
            </w:r>
          </w:p>
        </w:tc>
        <w:tc>
          <w:tcPr>
            <w:tcW w:type="pct" w:w="775"/>
            <w:tcBorders>
              <w:bottom w:val="single" w:sz="4" w:space="0" w:color="auto"/>
            </w:tcBorders>
            <w:shd w:fill="EEECE1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1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rFonts w:ascii="Calibri" w:hAnsi="Calibri" w:eastAsia="Calibri" w:cs="Calibri"/>
                <w:color w:val="000000"/>
              </w:rPr>
              <w:t xml:space="preserve">Vurder først</w:t>
            </w:r>
            <w:r>
              <w:rPr>
                <w:rFonts w:ascii="Calibri" w:hAnsi="Calibri" w:eastAsia="Calibri" w:cs="Calibri"/>
                <w:color w:val="000000"/>
              </w:rPr>
              <w:t xml:space="preserve"> om dokumentet kan utleveres, eller om det skal unntas fra offentlighet. Husk å vurdere e</w:t>
            </w:r>
            <w:r>
              <w:rPr>
                <w:rFonts w:ascii="Calibri" w:hAnsi="Calibri" w:eastAsia="Calibri" w:cs="Calibri"/>
                <w:color w:val="000000"/>
              </w:rPr>
              <w:t xml:space="preserve">ventuelle vedlegg. Husk </w:t>
            </w:r>
            <w:r>
              <w:rPr>
                <w:rFonts w:ascii="Calibri" w:hAnsi="Calibri" w:eastAsia="Calibri" w:cs="Calibri"/>
                <w:color w:val="000000"/>
              </w:rPr>
              <w:t xml:space="preserve">at forvaltningens saksdokumenter i utgangspunktet er offentlige. </w:t>
            </w:r>
          </w:p>
          <w:p>
            <w:pPr>
              <w:rPr>
                <w:b/>
              </w:rPr>
              <w:spacing w:after="0" w:line="240" w:lineRule="auto"/>
            </w:pPr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2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rFonts w:ascii="Calibri" w:hAnsi="Calibri" w:eastAsia="Calibri" w:cs="Calibri"/>
                <w:color w:val="000000"/>
              </w:rPr>
              <w:t xml:space="preserve">Vurder</w:t>
            </w:r>
            <w:r>
              <w:rPr>
                <w:rFonts w:ascii="Calibri" w:hAnsi="Calibri" w:eastAsia="Calibri" w:cs="Calibri"/>
                <w:color w:val="000000"/>
              </w:rPr>
              <w:t xml:space="preserve"> hel eller delvis meroffentlighet (dvs. at deler av dokumentet kan offentliggjøres) dersom dokumentet kan unntas fra offentlighet. Husk at det ikke skal vurderes meroffentlighet når det gjelder taushetsbelagte opplysninger. </w:t>
            </w:r>
          </w:p>
          <w:p>
            <w:pPr>
              <w:rPr>
                <w:b/>
              </w:rPr>
              <w:spacing w:after="0" w:line="240" w:lineRule="auto"/>
            </w:pPr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3.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rFonts w:ascii="Calibri" w:hAnsi="Calibri" w:eastAsia="Calibri" w:cs="Calibri"/>
                <w:color w:val="000000"/>
              </w:rPr>
              <w:t xml:space="preserve">Skriv</w:t>
            </w:r>
            <w:r>
              <w:rPr>
                <w:rFonts w:ascii="Calibri" w:hAnsi="Calibri" w:eastAsia="Calibri" w:cs="Calibri"/>
                <w:color w:val="000000"/>
              </w:rPr>
              <w:t xml:space="preserve"> på innsynsbegjæringen om meroffentlighet er vurdert. </w:t>
            </w:r>
          </w:p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4.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rPr>
                <w:sz w:val="24"/>
                <w:szCs w:val="20"/>
                <w:color w:val="000000"/>
                <w:lang w:eastAsia="nb-NO"/>
              </w:rPr>
              <w:spacing w:after="0" w:line="240" w:lineRule="auto"/>
            </w:pPr>
            <w:r>
              <w:rPr>
                <w:sz w:val="24"/>
                <w:szCs w:val="20"/>
                <w:color w:val="000000"/>
                <w:lang w:eastAsia="nb-NO"/>
              </w:rPr>
              <w:t xml:space="preserve">Presiser hjemmel.</w:t>
            </w:r>
            <w:r>
              <w:rPr>
                <w:sz w:val="24"/>
                <w:szCs w:val="20"/>
                <w:color w:val="000000"/>
                <w:lang w:eastAsia="nb-NO"/>
              </w:rPr>
              <w:t xml:space="preserve"> Hvis dokumentet helt eller delvis unntas fra offentlighet, skal det påføres paragraf, ledd og eventuelt nummer og/ eller bokstav på den lov- bestemmelsen som gir adgang til å unnta dokumentet. Hvis dokumentet sladdes eller unntas med hjemmel i§ 5a, skal det også vises til den lovbestemmelsen som gir grunnlag for taushetsplikten. Det er i utgangspunktet bare de taushetsbelagte opplysningene i dokumentet som skal unntas. </w:t>
            </w:r>
          </w:p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5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rFonts w:ascii="Calibri" w:hAnsi="Calibri" w:eastAsia="Calibri" w:cs="Calibri"/>
                <w:color w:val="000000"/>
              </w:rPr>
              <w:t xml:space="preserve">Det må fremgå av dokumentet hvor det er sladdet. Du skal ikke redigere dokumentet på PC. </w:t>
            </w:r>
            <w:r>
              <w:rPr>
                <w:rFonts w:ascii="Calibri" w:hAnsi="Calibri" w:eastAsia="Calibri" w:cs="Calibri"/>
                <w:color w:val="000000"/>
              </w:rPr>
              <w:t xml:space="preserve">Det sladdete dokumentet skal skannes inn på saken.</w:t>
            </w:r>
          </w:p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  <w:tr>
        <w:trPr>
          <w:trHeight w:val="303" w:hRule="atLeast"/>
        </w:trPr>
        <w:tc>
          <w:tcPr>
            <w:tcW w:type="pct" w:w="374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6</w:t>
            </w:r>
          </w:p>
        </w:tc>
        <w:tc>
          <w:tcPr>
            <w:tcW w:type="pct" w:w="3851"/>
            <w:tcBorders/>
            <w:shd w:fill="FFFFFF" w:color="auto" w:val="clear"/>
          </w:tcPr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r>
              <w:rPr>
                <w:rFonts w:ascii="Calibri" w:hAnsi="Calibri" w:eastAsia="Calibri" w:cs="Calibri"/>
                <w:color w:val="000000"/>
              </w:rPr>
              <w:t xml:space="preserve">Alle ekspederi</w:t>
            </w:r>
            <w:r>
              <w:rPr>
                <w:rFonts w:ascii="Calibri" w:hAnsi="Calibri" w:eastAsia="Calibri" w:cs="Calibri"/>
                <w:color w:val="000000"/>
              </w:rPr>
              <w:t xml:space="preserve">nger av dokumenter skal </w:t>
            </w:r>
            <w:r>
              <w:rPr>
                <w:rFonts w:ascii="Calibri" w:hAnsi="Calibri" w:eastAsia="Calibri" w:cs="Calibri"/>
                <w:color w:val="000000"/>
              </w:rPr>
              <w:t xml:space="preserve">sendes ut</w:t>
            </w:r>
            <w:r>
              <w:rPr>
                <w:rFonts w:ascii="Calibri" w:hAnsi="Calibri" w:eastAsia="Calibri" w:cs="Calibri"/>
                <w:color w:val="000000"/>
              </w:rPr>
              <w:t xml:space="preserve"> fra dokumentsenteret.</w:t>
            </w:r>
            <w:r>
              <w:rPr>
                <w:rFonts w:ascii="Calibri" w:hAnsi="Calibri" w:eastAsia="Calibri" w:cs="Calibri"/>
                <w:color w:val="000000"/>
              </w:rPr>
              <w:t xml:space="preserve"> D</w:t>
            </w:r>
            <w:r>
              <w:rPr>
                <w:rFonts w:ascii="Calibri" w:hAnsi="Calibri" w:eastAsia="Calibri" w:cs="Calibri"/>
                <w:color w:val="000000"/>
              </w:rPr>
              <w:t xml:space="preserve">okument</w:t>
            </w:r>
            <w:r>
              <w:rPr>
                <w:rFonts w:ascii="Calibri" w:hAnsi="Calibri" w:eastAsia="Calibri" w:cs="Calibri"/>
                <w:color w:val="000000"/>
              </w:rPr>
              <w:t xml:space="preserve">et skal sendes i brev</w:t>
            </w:r>
            <w:r>
              <w:rPr>
                <w:rFonts w:ascii="Calibri" w:hAnsi="Calibri" w:eastAsia="Calibri" w:cs="Calibri"/>
                <w:color w:val="000000"/>
              </w:rPr>
              <w:t xml:space="preserve">s</w:t>
            </w:r>
            <w:r>
              <w:rPr>
                <w:rFonts w:ascii="Calibri" w:hAnsi="Calibri" w:eastAsia="Calibri" w:cs="Calibri"/>
                <w:color w:val="000000"/>
              </w:rPr>
              <w:t xml:space="preserve"> form direkte til bestiller. </w:t>
            </w:r>
            <w:r>
              <w:rPr>
                <w:rFonts w:ascii="Calibri" w:hAnsi="Calibri" w:eastAsia="Calibri" w:cs="Calibri"/>
                <w:color w:val="000000"/>
              </w:rPr>
              <w:t xml:space="preserve">Alle innsynsbegjæringer skal være dokumentert og besvart innen 1-3 virkedager. </w:t>
            </w:r>
          </w:p>
          <w:p>
            <w:pPr>
              <w:pStyle w:val="Brdtekst"/>
              <w:rPr>
                <w:rFonts w:ascii="Calibri" w:hAnsi="Calibri" w:eastAsia="Calibri" w:cs="Calibri"/>
                <w:color w:val="000000"/>
              </w:rPr>
              <w:spacing w:before="0" w:line="240" w:lineRule="auto"/>
            </w:pPr>
            <w:bookmarkStart w:name="_GoBack" w:id="2"/>
            <w:bookmarkEnd w:id="2"/>
          </w:p>
        </w:tc>
        <w:tc>
          <w:tcPr>
            <w:tcW w:type="pct" w:w="775"/>
            <w:tcBorders/>
            <w:shd w:fill="FFFFFF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Saksansvarlig</w:t>
            </w:r>
          </w:p>
        </w:tc>
      </w:tr>
    </w:tbl>
    <w:p>
      <w:pPr>
        <w:rPr>
          <w:sz w:val="24"/>
          <w:iCs/>
          <w:color w:val="000000"/>
        </w:rPr>
        <w:spacing w:line="240" w:lineRule="exact"/>
      </w:pPr>
    </w:p>
    <w:p>
      <w:pPr>
        <w:pStyle w:val="Overskrift1"/>
        <w:rPr/>
        <w:spacing/>
      </w:pPr>
      <w:r>
        <w:rPr/>
        <w:t xml:space="preserve">Dokumenter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92"/>
        <w:gridCol w:w="3690"/>
      </w:tblGrid>
      <w:tr>
        <w:trPr/>
        <w:tc>
          <w:tcPr>
            <w:tcW w:type="dxa" w:w="5392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brukes i denne prosedyren</w:t>
            </w:r>
          </w:p>
        </w:tc>
        <w:tc>
          <w:tcPr>
            <w:tcW w:type="dxa" w:w="3690"/>
            <w:tcBorders/>
            <w:shd w:fill="D9D9D9" w:color="auto" w:val="clear"/>
            <w:tcMar>
              <w:left w:w="28" w:type="dxa"/>
              <w:right w:w="28" w:type="dxa"/>
            </w:tcMar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Original lagret hvor</w:t>
            </w:r>
          </w:p>
        </w:tc>
      </w:tr>
      <w:tr>
        <w:trPr/>
        <w:tc>
          <w:tcPr>
            <w:tcW w:type="dxa" w:w="5392"/>
            <w:tcBorders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pStyle w:val="Listeavsnitt"/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Male</w:t>
            </w:r>
            <w:r>
              <w:rPr>
                <w:color w:val="000000"/>
              </w:rPr>
              <w:t xml:space="preserve">r</w:t>
            </w:r>
            <w:r>
              <w:rPr>
                <w:color w:val="000000"/>
              </w:rPr>
              <w:t xml:space="preserve"> for behandling av innsynsbegjæringer</w:t>
            </w:r>
          </w:p>
          <w:p>
            <w:pPr>
              <w:numPr>
                <w:ilvl w:val="0"/>
                <w:numId w:val="11"/>
              </w:numPr>
              <w:pStyle w:val="Listeavsnitt"/>
              <w:rPr/>
              <w:spacing w:after="0"/>
            </w:pPr>
            <w:r>
              <w:rPr/>
              <w:t xml:space="preserve">Søknad om innsynsbegjæring</w:t>
            </w:r>
          </w:p>
        </w:tc>
        <w:tc>
          <w:tcPr>
            <w:tcW w:type="dxa" w:w="3690"/>
            <w:tcBorders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pStyle w:val="Listeavsnitt"/>
              <w:rPr/>
              <w:spacing w:after="0"/>
            </w:pPr>
            <w:r>
              <w:rPr/>
              <w:t xml:space="preserve">Sak/arkivsystemet</w:t>
            </w:r>
          </w:p>
          <w:p>
            <w:pPr>
              <w:numPr>
                <w:ilvl w:val="0"/>
                <w:numId w:val="3"/>
              </w:numPr>
              <w:pStyle w:val="Listeavsnitt"/>
              <w:rPr/>
              <w:spacing w:after="0"/>
            </w:pPr>
            <w:r>
              <w:rPr/>
              <w:t xml:space="preserve">Kommunens nettsider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Registreringer og arkivering</w:t>
      </w:r>
    </w:p>
    <w:tbl>
      <w:tblPr>
        <w:tblStyle w:val="Tabellrutenett"/>
        <w:tblLook w:val="04A0" w:firstRow="1" w:lastRow="0" w:firstColumn="1" w:lastColumn="0" w:noHBand="0" w:noVBand="1"/>
        <w:tblBorders/>
        <w:jc w:val="left"/>
        <w:tblCellMar>
          <w:left w:w="28" w:type="dxa"/>
          <w:right w:w="28" w:type="dxa"/>
        </w:tblCellMar>
        <w:tblW w:w="0" w:type="auto"/>
      </w:tblPr>
      <w:tblGrid>
        <w:gridCol w:w="5390"/>
        <w:gridCol w:w="2126"/>
        <w:gridCol w:w="1564"/>
      </w:tblGrid>
      <w:tr>
        <w:trPr/>
        <w:tc>
          <w:tcPr>
            <w:tcW w:type="dxa" w:w="5390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Dokumenter som produseres ved gjennomføring av prosedyren</w:t>
            </w:r>
          </w:p>
        </w:tc>
        <w:tc>
          <w:tcPr>
            <w:tcW w:type="dxa" w:w="2126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Arkiv/lagres hvor</w:t>
            </w:r>
          </w:p>
        </w:tc>
        <w:tc>
          <w:tcPr>
            <w:tcW w:type="dxa" w:w="1564"/>
            <w:tcBorders/>
            <w:shd w:fill="D9D9D9" w:color="auto" w:val="clear"/>
          </w:tcPr>
          <w:p>
            <w:pPr>
              <w:rPr>
                <w:b/>
              </w:rPr>
              <w:spacing w:after="0" w:line="240" w:lineRule="auto"/>
            </w:pPr>
            <w:r>
              <w:rPr>
                <w:b/>
              </w:rPr>
              <w:t xml:space="preserve">Arkiveringstid</w:t>
            </w:r>
          </w:p>
        </w:tc>
      </w:tr>
      <w:tr>
        <w:trPr/>
        <w:tc>
          <w:tcPr>
            <w:tcW w:type="dxa" w:w="5390"/>
            <w:tcBorders/>
          </w:tcPr>
          <w:p>
            <w:pPr>
              <w:numPr>
                <w:ilvl w:val="0"/>
                <w:numId w:val="14"/>
              </w:numPr>
              <w:pStyle w:val="Listeavsnitt"/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Begjæring om innsyn</w:t>
            </w:r>
            <w:r>
              <w:rPr>
                <w:color w:val="000000"/>
              </w:rPr>
              <w:t xml:space="preserve"> - Søknad</w:t>
            </w:r>
          </w:p>
          <w:p>
            <w:pPr>
              <w:numPr>
                <w:ilvl w:val="0"/>
                <w:numId w:val="14"/>
              </w:numPr>
              <w:pStyle w:val="Listeavsnitt"/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Foreløpig svar - innsyn</w:t>
            </w:r>
          </w:p>
          <w:p>
            <w:pPr>
              <w:numPr>
                <w:ilvl w:val="0"/>
                <w:numId w:val="14"/>
              </w:numPr>
              <w:pStyle w:val="Listeavsnitt"/>
              <w:rPr>
                <w:color w:val="000000"/>
              </w:rPr>
              <w:spacing w:after="0"/>
            </w:pPr>
            <w:r>
              <w:rPr>
                <w:color w:val="000000"/>
              </w:rPr>
              <w:t xml:space="preserve">Svar – innsyn</w:t>
            </w:r>
          </w:p>
          <w:p>
            <w:pPr>
              <w:numPr>
                <w:ilvl w:val="0"/>
                <w:numId w:val="14"/>
              </w:numPr>
              <w:pStyle w:val="Listeavsnitt"/>
              <w:rPr/>
              <w:spacing w:after="0"/>
            </w:pPr>
            <w:r>
              <w:rPr>
                <w:color w:val="000000"/>
              </w:rPr>
              <w:t xml:space="preserve">Avslag - innsyn</w:t>
            </w:r>
          </w:p>
        </w:tc>
        <w:tc>
          <w:tcPr>
            <w:tcW w:type="dxa" w:w="2126"/>
            <w:tcBorders/>
          </w:tcPr>
          <w:p>
            <w:pPr>
              <w:rPr/>
              <w:spacing w:after="0"/>
            </w:pPr>
            <w:r>
              <w:rPr/>
              <w:t xml:space="preserve">Sak/arkivsy</w:t>
            </w:r>
            <w:r>
              <w:rPr/>
              <w:t xml:space="preserve">s</w:t>
            </w:r>
            <w:r>
              <w:rPr/>
              <w:t xml:space="preserve">temet</w:t>
            </w:r>
          </w:p>
        </w:tc>
        <w:tc>
          <w:tcPr>
            <w:tcW w:type="dxa" w:w="1564"/>
            <w:tcBorders/>
          </w:tcPr>
          <w:p>
            <w:pPr>
              <w:rPr/>
              <w:spacing w:after="0"/>
            </w:pPr>
            <w:r>
              <w:rPr>
                <w:color w:val="000000"/>
              </w:rPr>
              <w:t xml:space="preserve">Evig</w:t>
            </w:r>
          </w:p>
        </w:tc>
      </w:tr>
    </w:tbl>
    <w:p>
      <w:pPr>
        <w:rPr/>
        <w:spacing/>
      </w:pPr>
    </w:p>
    <w:p>
      <w:pPr>
        <w:pStyle w:val="Overskrift1"/>
        <w:rPr/>
        <w:spacing/>
      </w:pPr>
      <w:r>
        <w:rPr/>
        <w:t xml:space="preserve">Referanser</w:t>
      </w:r>
    </w:p>
    <w:p>
      <w:pPr>
        <w:numPr>
          <w:ilvl w:val="0"/>
          <w:numId w:val="8"/>
        </w:numPr>
        <w:pStyle w:val="Listeavsnitt"/>
        <w:rPr/>
        <w:spacing/>
      </w:pPr>
      <w:r>
        <w:rPr/>
        <w:t xml:space="preserve">Arkivloven</w:t>
      </w:r>
    </w:p>
    <w:p>
      <w:pPr>
        <w:numPr>
          <w:ilvl w:val="0"/>
          <w:numId w:val="8"/>
        </w:numPr>
        <w:pStyle w:val="Listeavsnitt"/>
        <w:rPr/>
        <w:spacing/>
      </w:pPr>
      <w:r>
        <w:rPr/>
        <w:t xml:space="preserve">Personopplysningsloven </w:t>
      </w:r>
    </w:p>
    <w:p>
      <w:pPr>
        <w:numPr>
          <w:ilvl w:val="0"/>
          <w:numId w:val="8"/>
        </w:numPr>
        <w:pStyle w:val="Listeavsnitt"/>
        <w:rPr/>
        <w:spacing/>
      </w:pPr>
      <w:r>
        <w:rPr/>
        <w:t xml:space="preserve">Offentlighetsloven</w:t>
      </w:r>
    </w:p>
    <w:p>
      <w:pPr>
        <w:numPr>
          <w:ilvl w:val="0"/>
          <w:numId w:val="8"/>
        </w:numPr>
        <w:pStyle w:val="Listeavsnitt"/>
        <w:rPr/>
        <w:spacing/>
      </w:pPr>
      <w:r>
        <w:rPr/>
        <w:t xml:space="preserve">Forvaltningsloven</w:t>
      </w:r>
    </w:p>
    <w:p>
      <w:pPr>
        <w:numPr>
          <w:ilvl w:val="0"/>
          <w:numId w:val="8"/>
        </w:numPr>
        <w:pStyle w:val="Listeavsnitt"/>
        <w:rPr/>
        <w:spacing/>
      </w:pPr>
      <w:r>
        <w:rPr/>
        <w:t xml:space="preserve">Matrikkelloven</w:t>
      </w:r>
    </w:p>
    <w:p>
      <w:pPr>
        <w:rPr>
          <w:i/>
        </w:rPr>
        <w:ind w:left="360"/>
        <w:spacing/>
      </w:pPr>
    </w:p>
    <w:p>
      <w:pPr>
        <w:rPr/>
        <w:spacing/>
      </w:pPr>
    </w:p>
    <w:sectPr>
      <w:type w:val="nextPage"/>
      <w:pgSz w:w="11906" w:h="16838"/>
      <w:pgMar w:top="2268" w:right="1418" w:bottom="1418" w:left="1418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rPr/>
      <w:spacing/>
    </w:pPr>
    <w:r>
      <w:rPr>
        <w:sz w:val="16"/>
        <w:rFonts w:ascii="Verdana" w:hAnsi="Verdana" w:eastAsia="Verdana" w:cs="Verdana"/>
        <w:color w:val="000000"/>
      </w:rPr>
      <w:t xml:space="preserve">05.03.2013 15:18:20</w:t>
    </w:r>
    <w:r>
      <w:rPr>
        <w:sz w:val="16"/>
        <w:rFonts w:ascii="Verdana" w:hAnsi="Verdana" w:eastAsia="Verdana" w:cs="Verdana"/>
        <w:color w:val="000000"/>
      </w:rPr>
      <w:tab/>
      <w:tab/>
      <w:tab/>
      <w:tab/>
      <w:t xml:space="preserve">Side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>PAGE Page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Page</w:t>
    </w:r>
    <w:r>
      <w:rPr>
        <w:sz w:val="16"/>
        <w:rFonts w:ascii="Verdana" w:hAnsi="Verdana" w:eastAsia="Verdana" w:cs="Verdana"/>
      </w:rPr>
      <w:fldChar w:fldCharType="end"/>
    </w:r>
    <w:r>
      <w:rPr>
        <w:sz w:val="16"/>
        <w:rFonts w:ascii="Verdana" w:hAnsi="Verdana" w:eastAsia="Verdana" w:cs="Verdana"/>
        <w:color w:val="000000"/>
      </w:rPr>
      <w:t xml:space="preserve"> av </w:t>
    </w:r>
    <w:r>
      <w:rPr>
        <w:sz w:val="16"/>
        <w:rFonts w:ascii="Verdana" w:hAnsi="Verdana" w:eastAsia="Verdana" w:cs="Verdana"/>
      </w:rPr>
      <w:fldChar w:fldCharType="begin"/>
    </w:r>
    <w:r>
      <w:rPr>
        <w:sz w:val="16"/>
        <w:rFonts w:ascii="Verdana" w:hAnsi="Verdana" w:eastAsia="Verdana" w:cs="Verdana"/>
      </w:rPr>
      <w:instrText xml:space="preserve">NUMPAGES 1</w:instrText>
    </w:r>
    <w:r>
      <w:rPr>
        <w:sz w:val="16"/>
        <w:rFonts w:ascii="Verdana" w:hAnsi="Verdana" w:eastAsia="Verdana" w:cs="Verdana"/>
      </w:rPr>
      <w:fldChar w:fldCharType="separate"/>
    </w:r>
    <w:r>
      <w:rPr/>
      <w:t xml:space="preserve">1</w:t>
    </w:r>
    <w:r>
      <w:rPr>
        <w:sz w:val="16"/>
        <w:rFonts w:ascii="Verdana" w:hAnsi="Verdana" w:eastAsia="Verdana" w:cs="Verdana"/>
      </w:rPr>
      <w:fldChar w:fldCharType="end"/>
    </w:r>
  </w:p>
  <w:p>
    <w:pPr>
      <w:rPr/>
      <w:spacing/>
    </w:pPr>
    <w:r>
      <w:rPr>
        <w:sz w:val="16"/>
        <w:rFonts w:ascii="Verdana" w:hAnsi="Verdana" w:eastAsia="Verdana" w:cs="Verdana"/>
        <w:color w:val="000000"/>
      </w:rPr>
      <w:t xml:space="preserve">Dette dokumentet er ikke godkjent i utskrevet format med mindre det kommer fram særskilt i prosedyren. Godkjent versjon er kun tilgjengelig i elektronisk kvalitetssystem.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>ID: 3764  Versjonsnr: 001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21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Prosedyre Innsynsbegjæring</w:t>
          </w:r>
        </w:p>
      </w:tc>
      <w:tc>
        <w:tcPr>
          <w:tcW w:type="dxa" w:w="4535"/>
          <w:tcBorders>
            <w:top w:val="nil"/>
            <w:left w:val="nil"/>
            <w:bottom w:val="nil"/>
            <w:right w:val="nil"/>
            <w:insideH w:val="nil"/>
            <w:insideV w:val="nil"/>
          </w:tcBorders>
        </w:tcPr>
        <w:p>
          <w:pPr>
            <w:rPr/>
            <w:jc w:val="right"/>
            <w:spacing w:before="0" w:after="0" w:line="180" w:lineRule="atLeast"/>
          </w:pPr>
          <w:r>
            <w:rPr/>
            <w:drawing>
              <wp:inline>
                <wp:extent cx="942158" cy="361636"/>
                <wp:docPr id="1" name="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58" cy="361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7"/>
              <w:rFonts w:ascii="Verdana" w:hAnsi="Verdana" w:eastAsia="Verdana" w:cs="Verdana"/>
              <w:b/>
              <w:color w:val="000000"/>
            </w:rPr>
            <w:t xml:space="preserve">  Felles kommuner</w:t>
          </w:r>
        </w:p>
      </w:tc>
    </w:tr>
  </w:tbl>
  <w:tbl>
    <w:tblPr>
      <w:tblStyle w:val="TableGrid"/>
      <w:tblLook w:val="04A0" w:firstRow="1" w:lastRow="0" w:firstColumn="1" w:lastColumn="0" w:noHBand="0" w:noVBand="1"/>
      <w:tblInd w:w="4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</w:tblBorders>
      <w:jc w:val="left"/>
      <w:tblLayout w:type="fixed"/>
      <w:tblCellMar>
        <w:top w:w="40" w:type="dxa"/>
        <w:left w:w="40" w:type="dxa"/>
        <w:bottom w:w="40" w:type="dxa"/>
        <w:right w:w="40" w:type="dxa"/>
      </w:tblCellMar>
      <w:tblW w:type="dxa" w:w="9070"/>
    </w:tblPr>
    <w:tblGrid>
      <w:gridCol w:w="4535"/>
      <w:gridCol w:w="4535"/>
    </w:tblGrid>
    <w:tr>
      <w:trPr/>
      <w:tc>
        <w:tcPr>
          <w:tcW w:type="dxa" w:w="4535"/>
          <w:tc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</w:tcBorders>
          <w:hMerge w:val="restart"/>
        </w:tcPr>
        <w:p>
          <w:pPr>
            <w:rPr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b/>
              <w:color w:val="000000"/>
            </w:rPr>
            <w:t xml:space="preserve">Ansvarsområde:     </w:t>
          </w:r>
          <w:r>
            <w:rPr>
              <w:sz w:val="15"/>
              <w:rFonts w:ascii="Verdana" w:hAnsi="Verdana" w:eastAsia="Verdana" w:cs="Verdana"/>
              <w:color w:val="000000"/>
            </w:rPr>
            <w:t xml:space="preserve">Felles ØRU / Saksbehandling og arkiv / Post og arkiv / Arkiv og journal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Dok. kategori: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Prosedyre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Sist endret: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16.01.2013 ( Foretaksmaster )       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Siste revisjon: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           </w:t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</w:rPr>
            <w:t xml:space="preserve">Neste revisjon: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>Ikke satt</w:t>
          </w:r>
        </w:p>
        <w:p>
          <w:pPr>
            <w:rPr>
              <w:sz w:val="22"/>
              <w:szCs w:val="22"/>
              <w:rFonts w:ascii="Calibri" w:hAnsi="Calibri" w:eastAsia="Calibri" w:cs="Calibri"/>
              <w:lang w:val="nb-NO" w:eastAsia="ar-SA"/>
            </w:rPr>
            <w:pageBreakBefore w:val="0"/>
            <w:jc w:val="left"/>
            <w:spacing w:before="0" w:after="0" w:line="180" w:lineRule="atLeast"/>
          </w:pPr>
          <w:r>
            <w:rPr>
              <w:sz w:val="15"/>
              <w:szCs w:val="22"/>
              <w:rFonts w:ascii="Verdana" w:hAnsi="Verdana" w:eastAsia="Verdana" w:cs="Verdana"/>
              <w:color w:val="000000"/>
            </w:rPr>
            <w:t xml:space="preserve"/>
          </w:r>
          <w:r>
            <w:rPr>
              <w:sz w:val="15"/>
              <w:szCs w:val="22"/>
              <w:rFonts w:ascii="Verdana" w:hAnsi="Verdana" w:eastAsia="Verdana" w:cs="Verdana"/>
              <w:b/>
              <w:color w:val="000000"/>
              <w:lang w:val="nb-NO" w:eastAsia="ar-SA"/>
            </w:rPr>
            <w:t xml:space="preserve">Godkjent:                </w:t>
          </w:r>
          <w:r>
            <w:rPr>
              <w:sz w:val="15"/>
              <w:szCs w:val="22"/>
              <w:rFonts w:ascii="Verdana" w:hAnsi="Verdana" w:eastAsia="Verdana" w:cs="Verdana"/>
              <w:color w:val="000000"/>
              <w:lang w:val="nb-NO" w:eastAsia="ar-SA"/>
            </w:rPr>
            <w:t xml:space="preserve">GODKJENT 17.01.2013 ( Arne Bruknapp (UK) )</w:t>
          </w:r>
        </w:p>
      </w:tc>
      <w:tc>
        <w:tcPr>
          <w:tcW w:type="dxa" w:w="4535"/>
          <w:tcBorders/>
          <w:hMerge w:val="continue"/>
        </w:tcPr>
        <w:p>
          <w:pPr>
            <w:pStyle w:val="Normal">
              <w:rPr/>
            </w:pStyle>
          </w:pPr>
        </w:p>
      </w:tc>
    </w:tr>
  </w:tbl>
  <w:p>
    <w:pPr>
      <w:rPr/>
      <w:spacing w:before="0" w:after="0"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3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4">
    <w:lvl w:ilvl="0">
      <w:start w:val="1"/>
      <w:numFmt w:val="lowerLetter"/>
      <w:lvlText w:val="%1)"/>
      <w:suff w:val="tab"/>
      <w:pPr>
        <w:ind w:left="360" w:firstLine="-360"/>
        <w:spacing/>
      </w:pPr>
      <w:rPr/>
    </w:lvl>
    <w:lvl w:ilvl="1">
      <w:start w:val="1"/>
      <w:numFmt w:val="lowerLetter"/>
      <w:lvlText w:val="%2."/>
      <w:suff w:val="tab"/>
      <w:pPr>
        <w:ind w:left="108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1800" w:firstLine="-180"/>
        <w:spacing/>
      </w:pPr>
      <w:rPr/>
    </w:lvl>
    <w:lvl w:ilvl="3">
      <w:start w:val="1"/>
      <w:numFmt w:val="decimal"/>
      <w:lvlText w:val="%4."/>
      <w:suff w:val="tab"/>
      <w:pPr>
        <w:ind w:left="2520" w:firstLine="-360"/>
        <w:spacing/>
      </w:pPr>
      <w:rPr/>
    </w:lvl>
    <w:lvl w:ilvl="4">
      <w:start w:val="1"/>
      <w:numFmt w:val="lowerLetter"/>
      <w:lvlText w:val="%5."/>
      <w:suff w:val="tab"/>
      <w:pPr>
        <w:ind w:left="324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3960" w:firstLine="-180"/>
        <w:spacing/>
      </w:pPr>
      <w:rPr/>
    </w:lvl>
    <w:lvl w:ilvl="6">
      <w:start w:val="1"/>
      <w:numFmt w:val="decimal"/>
      <w:lvlText w:val="%7."/>
      <w:suff w:val="tab"/>
      <w:pPr>
        <w:ind w:left="4680" w:firstLine="-360"/>
        <w:spacing/>
      </w:pPr>
      <w:rPr/>
    </w:lvl>
    <w:lvl w:ilvl="7">
      <w:start w:val="1"/>
      <w:numFmt w:val="lowerLetter"/>
      <w:lvlText w:val="%8."/>
      <w:suff w:val="tab"/>
      <w:pPr>
        <w:ind w:left="540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120" w:firstLine="-180"/>
        <w:spacing/>
      </w:pPr>
      <w:rPr/>
    </w:lvl>
  </w:abstractNum>
  <w:abstractNum w:abstractNumId="5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abstractNum w:abstractNumId="6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7">
    <w:lvl w:ilvl="0">
      <w:start w:val="1"/>
      <w:numFmt w:val="bullet"/>
      <w:lvlText w:val=""/>
      <w:suff w:val="tab"/>
      <w:pPr>
        <w:ind w:left="644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364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084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04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524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244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964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684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04" w:firstLine="-360"/>
        <w:spacing/>
      </w:pPr>
      <w:rPr>
        <w:rFonts w:ascii="Wingdings" w:hAnsi="Wingdings" w:eastAsia="Wingdings" w:cs="Wingdings"/>
      </w:rPr>
    </w:lvl>
  </w:abstractNum>
  <w:abstractNum w:abstractNumId="8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9">
    <w:lvl w:ilvl="0">
      <w:start w:val="1"/>
      <w:numFmt w:val="decimal"/>
      <w:lvlText w:val="%1"/>
      <w:suff w:val="tab"/>
      <w:pStyle w:val="Overskrift1"/>
      <w:pPr>
        <w:ind w:left="432" w:firstLine="-432"/>
        <w:spacing/>
      </w:pPr>
      <w:rPr>
        <w:color w:val="1F497D"/>
      </w:rPr>
    </w:lvl>
    <w:lvl w:ilvl="1">
      <w:start w:val="1"/>
      <w:numFmt w:val="decimal"/>
      <w:lvlText w:val="%1.%2"/>
      <w:suff w:val="tab"/>
      <w:pStyle w:val="Overskrift2"/>
      <w:pPr>
        <w:ind w:left="576" w:firstLine="-576"/>
        <w:spacing/>
      </w:pPr>
      <w:rPr/>
    </w:lvl>
    <w:lvl w:ilvl="2">
      <w:start w:val="1"/>
      <w:numFmt w:val="decimal"/>
      <w:lvlText w:val="%1.%2.%3"/>
      <w:suff w:val="tab"/>
      <w:pStyle w:val="Overskrift3"/>
      <w:pPr>
        <w:ind w:left="720" w:firstLine="-720"/>
        <w:spacing/>
      </w:pPr>
      <w:rPr/>
    </w:lvl>
    <w:lvl w:ilvl="3">
      <w:start w:val="1"/>
      <w:numFmt w:val="decimal"/>
      <w:lvlText w:val="%1.%2.%3.%4"/>
      <w:suff w:val="tab"/>
      <w:pStyle w:val="Overskrift4"/>
      <w:pPr>
        <w:ind w:left="864" w:firstLine="-864"/>
        <w:spacing/>
      </w:pPr>
      <w:rPr/>
    </w:lvl>
    <w:lvl w:ilvl="4">
      <w:start w:val="1"/>
      <w:numFmt w:val="decimal"/>
      <w:lvlText w:val="%1.%2.%3.%4.%5"/>
      <w:suff w:val="tab"/>
      <w:pStyle w:val="Overskrift5"/>
      <w:pPr>
        <w:ind w:left="1008" w:firstLine="-1008"/>
        <w:spacing/>
      </w:pPr>
      <w:rPr/>
    </w:lvl>
    <w:lvl w:ilvl="5">
      <w:start w:val="1"/>
      <w:numFmt w:val="decimal"/>
      <w:lvlText w:val="%1.%2.%3.%4.%5.%6"/>
      <w:suff w:val="tab"/>
      <w:pStyle w:val="Overskrift6"/>
      <w:pPr>
        <w:ind w:left="1152" w:firstLine="-1152"/>
        <w:spacing/>
      </w:pPr>
      <w:rPr/>
    </w:lvl>
    <w:lvl w:ilvl="6">
      <w:start w:val="1"/>
      <w:numFmt w:val="decimal"/>
      <w:lvlText w:val="%1.%2.%3.%4.%5.%6.%7"/>
      <w:suff w:val="tab"/>
      <w:pStyle w:val="Overskrift7"/>
      <w:pPr>
        <w:ind w:left="1296" w:firstLine="-1296"/>
        <w:spacing/>
      </w:pPr>
      <w:rPr/>
    </w:lvl>
    <w:lvl w:ilvl="7">
      <w:start w:val="1"/>
      <w:numFmt w:val="decimal"/>
      <w:lvlText w:val="%1.%2.%3.%4.%5.%6.%7.%8"/>
      <w:suff w:val="tab"/>
      <w:pStyle w:val="Overskrift8"/>
      <w:pPr>
        <w:ind w:left="1440" w:firstLine="-1440"/>
        <w:spacing/>
      </w:pPr>
      <w:rPr/>
    </w:lvl>
    <w:lvl w:ilvl="8">
      <w:start w:val="1"/>
      <w:numFmt w:val="decimal"/>
      <w:lvlText w:val="%1.%2.%3.%4.%5.%6.%7.%8.%9"/>
      <w:suff w:val="tab"/>
      <w:pStyle w:val="Overskrift9"/>
      <w:pPr>
        <w:ind w:left="1584" w:firstLine="-1584"/>
        <w:spacing/>
      </w:pPr>
      <w:rPr/>
    </w:lvl>
  </w:abstractNum>
  <w:abstractNum w:abstractNumId="10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1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abstractNum w:abstractNumId="12">
    <w:lvl w:ilvl="0">
      <w:start w:val="1"/>
      <w:numFmt w:val="bullet"/>
      <w:lvlText w:val=""/>
      <w:suff w:val="tab"/>
      <w:pPr>
        <w:ind w:left="36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08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180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52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24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396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468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40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120" w:firstLine="-360"/>
        <w:spacing/>
      </w:pPr>
      <w:rPr>
        <w:rFonts w:ascii="Wingdings" w:hAnsi="Wingdings" w:eastAsia="Wingdings" w:cs="Wingdings"/>
      </w:rPr>
    </w:lvl>
  </w:abstractNum>
  <w:abstractNum w:abstractNumId="13">
    <w:lvl w:ilvl="0">
      <w:start w:val="1"/>
      <w:numFmt w:val="decimal"/>
      <w:lvlText w:val="%1."/>
      <w:suff w:val="tab"/>
      <w:pPr>
        <w:ind w:left="720" w:firstLine="-360"/>
        <w:spacing/>
      </w:pPr>
      <w:rPr/>
    </w:lvl>
    <w:lvl w:ilvl="1">
      <w:start w:val="1"/>
      <w:numFmt w:val="lowerLetter"/>
      <w:lvlText w:val="%2."/>
      <w:suff w:val="tab"/>
      <w:pPr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480" w:firstLine="-180"/>
        <w:spacing/>
      </w:pPr>
      <w:rPr/>
    </w:lvl>
  </w:abstractNum>
  <w:abstractNum w:abstractNumId="14">
    <w:lvl w:ilvl="0">
      <w:start w:val="1"/>
      <w:numFmt w:val="bullet"/>
      <w:lvlText w:val=""/>
      <w:suff w:val="tab"/>
      <w:pPr>
        <w:ind w:left="720" w:firstLine="-36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 w:firstLine="-36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 w:firstLine="-3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 w:firstLine="-36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 w:firstLine="-36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 w:firstLine="-36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 w:firstLine="-36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 w:firstLine="-3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 w:firstLine="-36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08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sz w:val="22"/>
        <w:szCs w:val="22"/>
        <w:rFonts w:ascii="Calibri" w:hAnsi="Calibri" w:eastAsia="Calibri" w:cs="Calibri"/>
        <w:lang w:val="nb-NO" w:eastAsia="ar-SA"/>
      </w:rPr>
    </w:rPrDefault>
    <w:pPrDefault>
      <w:pPr>
        <w:spacing w:after="200" w:line="276" w:lineRule="auto"/>
      </w:pPr>
    </w:pPrDefault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/>
  </w:style>
  <w:style w:type="paragraph" w:styleId="Overskrift1">
    <w:name w:val="Heading 1"/>
    <w:qFormat/>
    <w:basedOn w:val="Normal"/>
    <w:link w:val="Overskrift1Tegn"/>
    <w:numPr>
      <w:ilvl w:val="0"/>
      <w:numId w:val="10"/>
    </w:numPr>
    <w:pPr>
      <w:keepLines/>
      <w:outlineLvl w:val="0"/>
      <w:keepNext/>
      <w:spacing w:before="480" w:after="0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Overskrift2">
    <w:name w:val="Heading 2"/>
    <w:qFormat/>
    <w:basedOn w:val="Normal"/>
    <w:link w:val="Overskrift2Tegn"/>
    <w:semiHidden/>
    <w:unhideWhenUsed/>
    <w:numPr>
      <w:ilvl w:val="1"/>
      <w:numId w:val="10"/>
    </w:numPr>
    <w:pPr>
      <w:keepLines/>
      <w:outlineLvl w:val="1"/>
      <w:keepNext/>
      <w:spacing w:before="200" w:after="0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Overskrift3">
    <w:name w:val="Heading 3"/>
    <w:qFormat/>
    <w:basedOn w:val="Normal"/>
    <w:link w:val="Overskrift3Tegn"/>
    <w:semiHidden/>
    <w:unhideWhenUsed/>
    <w:numPr>
      <w:ilvl w:val="2"/>
      <w:numId w:val="10"/>
    </w:numPr>
    <w:pPr>
      <w:keepLines/>
      <w:outlineLvl w:val="2"/>
      <w:keepNext/>
      <w:spacing w:before="200" w:after="0"/>
    </w:pPr>
    <w:rPr>
      <w:rFonts w:ascii="Cambria" w:hAnsi="Cambria" w:eastAsia="Cambria" w:cs="Cambria"/>
      <w:b/>
      <w:bCs/>
      <w:color w:val="4F81BD"/>
    </w:rPr>
  </w:style>
  <w:style w:type="paragraph" w:styleId="Overskrift4">
    <w:name w:val="Heading 4"/>
    <w:qFormat/>
    <w:basedOn w:val="Normal"/>
    <w:link w:val="Overskrift4Tegn"/>
    <w:semiHidden/>
    <w:unhideWhenUsed/>
    <w:numPr>
      <w:ilvl w:val="3"/>
      <w:numId w:val="10"/>
    </w:numPr>
    <w:pPr>
      <w:keepLines/>
      <w:outlineLvl w:val="3"/>
      <w:keepNext/>
      <w:spacing w:before="200" w:after="0"/>
    </w:pPr>
    <w:rPr>
      <w:rFonts w:ascii="Cambria" w:hAnsi="Cambria" w:eastAsia="Cambria" w:cs="Cambria"/>
      <w:i/>
      <w:iCs/>
      <w:b/>
      <w:bCs/>
      <w:color w:val="4F81BD"/>
    </w:rPr>
  </w:style>
  <w:style w:type="paragraph" w:styleId="Overskrift5">
    <w:name w:val="Heading 5"/>
    <w:qFormat/>
    <w:basedOn w:val="Normal"/>
    <w:link w:val="Overskrift5Tegn"/>
    <w:semiHidden/>
    <w:unhideWhenUsed/>
    <w:numPr>
      <w:ilvl w:val="4"/>
      <w:numId w:val="10"/>
    </w:numPr>
    <w:pPr>
      <w:keepLines/>
      <w:outlineLvl w:val="4"/>
      <w:keepNext/>
      <w:spacing w:before="200" w:after="0"/>
    </w:pPr>
    <w:rPr>
      <w:rFonts w:ascii="Cambria" w:hAnsi="Cambria" w:eastAsia="Cambria" w:cs="Cambria"/>
      <w:color w:val="243F60"/>
    </w:rPr>
  </w:style>
  <w:style w:type="paragraph" w:styleId="Overskrift6">
    <w:name w:val="Heading 6"/>
    <w:qFormat/>
    <w:basedOn w:val="Normal"/>
    <w:link w:val="Overskrift6Tegn"/>
    <w:semiHidden/>
    <w:unhideWhenUsed/>
    <w:numPr>
      <w:ilvl w:val="5"/>
      <w:numId w:val="10"/>
    </w:numPr>
    <w:pPr>
      <w:keepLines/>
      <w:outlineLvl w:val="5"/>
      <w:keepNext/>
      <w:spacing w:before="200" w:after="0"/>
    </w:pPr>
    <w:rPr>
      <w:rFonts w:ascii="Cambria" w:hAnsi="Cambria" w:eastAsia="Cambria" w:cs="Cambria"/>
      <w:i/>
      <w:iCs/>
      <w:color w:val="243F60"/>
    </w:rPr>
  </w:style>
  <w:style w:type="paragraph" w:styleId="Overskrift7">
    <w:name w:val="Heading 7"/>
    <w:qFormat/>
    <w:basedOn w:val="Normal"/>
    <w:link w:val="Overskrift7Tegn"/>
    <w:semiHidden/>
    <w:unhideWhenUsed/>
    <w:numPr>
      <w:ilvl w:val="6"/>
      <w:numId w:val="10"/>
    </w:numPr>
    <w:pPr>
      <w:keepLines/>
      <w:outlineLvl w:val="6"/>
      <w:keepNext/>
      <w:spacing w:before="200" w:after="0"/>
    </w:pPr>
    <w:rPr>
      <w:rFonts w:ascii="Cambria" w:hAnsi="Cambria" w:eastAsia="Cambria" w:cs="Cambria"/>
      <w:i/>
      <w:iCs/>
      <w:color w:val="404040"/>
    </w:rPr>
  </w:style>
  <w:style w:type="paragraph" w:styleId="Overskrift8">
    <w:name w:val="Heading 8"/>
    <w:qFormat/>
    <w:basedOn w:val="Normal"/>
    <w:link w:val="Overskrift8Tegn"/>
    <w:semiHidden/>
    <w:unhideWhenUsed/>
    <w:numPr>
      <w:ilvl w:val="7"/>
      <w:numId w:val="10"/>
    </w:numPr>
    <w:pPr>
      <w:keepLines/>
      <w:outlineLvl w:val="7"/>
      <w:keepNext/>
      <w:spacing w:before="200" w:after="0"/>
    </w:pPr>
    <w:rPr>
      <w:sz w:val="20"/>
      <w:szCs w:val="20"/>
      <w:rFonts w:ascii="Cambria" w:hAnsi="Cambria" w:eastAsia="Cambria" w:cs="Cambria"/>
      <w:color w:val="404040"/>
    </w:rPr>
  </w:style>
  <w:style w:type="paragraph" w:styleId="Overskrift9">
    <w:name w:val="Heading 9"/>
    <w:qFormat/>
    <w:basedOn w:val="Normal"/>
    <w:link w:val="Overskrift9Tegn"/>
    <w:semiHidden/>
    <w:unhideWhenUsed/>
    <w:numPr>
      <w:ilvl w:val="8"/>
      <w:numId w:val="10"/>
    </w:numPr>
    <w:pPr>
      <w:keepLines/>
      <w:outlineLvl w:val="8"/>
      <w:keepNext/>
      <w:spacing w:before="200" w:after="0"/>
    </w:pPr>
    <w:rPr>
      <w:sz w:val="20"/>
      <w:szCs w:val="20"/>
      <w:rFonts w:ascii="Cambria" w:hAnsi="Cambria" w:eastAsia="Cambria" w:cs="Cambria"/>
      <w:i/>
      <w:iCs/>
      <w:color w:val="404040"/>
    </w:rPr>
  </w:style>
  <w:style w:type="character" w:default="1" w:styleId="Standardskriftforavsnitt">
    <w:name w:val="Default Paragraph Font"/>
    <w:semiHidden/>
    <w:unhideWhenUsed/>
    <w:rPr/>
  </w:style>
  <w:style w:type="table" w:default="1" w:styleId="Vanligtabel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Overskrift1Tegn">
    <w:name w:val="Overskrift 1 Tegn"/>
    <w:basedOn w:val="Standardskriftforavsnitt"/>
    <w:link w:val="Heading1"/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Topptekst">
    <w:name w:val="Header"/>
    <w:basedOn w:val="Normal"/>
    <w:link w:val="Topp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TopptekstTegn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pos="4536" w:val="center"/>
        <w:tab w:pos="9072" w:val="right"/>
      </w:tabs>
      <w:spacing w:after="0" w:line="240" w:lineRule="auto"/>
    </w:pPr>
    <w:rPr/>
  </w:style>
  <w:style w:type="character" w:custom="1" w:styleId="BunntekstTegn">
    <w:name w:val="Bunntekst Tegn"/>
    <w:basedOn w:val="Standardskriftforavsnitt"/>
    <w:link w:val="Footer"/>
    <w:rPr/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sz w:val="16"/>
      <w:szCs w:val="16"/>
      <w:rFonts w:ascii="Tahoma" w:hAnsi="Tahoma" w:eastAsia="Tahoma" w:cs="Tahoma"/>
    </w:rPr>
  </w:style>
  <w:style w:type="character" w:custom="1" w:styleId="BobletekstTegn">
    <w:name w:val="Bobletekst Tegn"/>
    <w:basedOn w:val="Standardskriftforavsnitt"/>
    <w:link w:val="BalloonText"/>
    <w:semiHidden/>
    <w:rPr>
      <w:sz w:val="16"/>
      <w:szCs w:val="16"/>
      <w:rFonts w:ascii="Tahoma" w:hAnsi="Tahoma" w:eastAsia="Tahoma" w:cs="Tahoma"/>
    </w:rPr>
  </w:style>
  <w:style w:type="table" w:styleId="Tabellrutenett">
    <w:name w:val="Table Grid"/>
    <w:rPr>
      <w:rFonts w:ascii="Calibri" w:hAnsi="Calibri" w:eastAsia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="1" w:styleId="Listeavsnitt">
    <w:name w:val="List Paragraph"/>
    <w:qFormat/>
    <w:basedOn w:val="Normal"/>
    <w:pPr>
      <w:ind w:left="720"/>
      <w:contextualSpacing/>
      <w:spacing/>
    </w:pPr>
    <w:rPr/>
  </w:style>
  <w:style w:type="character" w:custom="1" w:styleId="Overskrift2Tegn">
    <w:name w:val="Overskrift 2 Tegn"/>
    <w:basedOn w:val="Standardskriftforavsnitt"/>
    <w:link w:val="Heading2"/>
    <w:semiHidden/>
    <w:rPr>
      <w:sz w:val="26"/>
      <w:szCs w:val="26"/>
      <w:rFonts w:ascii="Cambria" w:hAnsi="Cambria" w:eastAsia="Cambria" w:cs="Cambria"/>
      <w:b/>
      <w:bCs/>
      <w:color w:val="4F81BD"/>
    </w:rPr>
  </w:style>
  <w:style w:type="character" w:custom="1" w:styleId="Overskrift3Tegn">
    <w:name w:val="Overskrift 3 Tegn"/>
    <w:basedOn w:val="Standardskriftforavsnitt"/>
    <w:link w:val="Heading3"/>
    <w:semiHidden/>
    <w:rPr>
      <w:rFonts w:ascii="Cambria" w:hAnsi="Cambria" w:eastAsia="Cambria" w:cs="Cambria"/>
      <w:b/>
      <w:bCs/>
      <w:color w:val="4F81BD"/>
    </w:rPr>
  </w:style>
  <w:style w:type="character" w:custom="1" w:styleId="Overskrift4Tegn">
    <w:name w:val="Overskrift 4 Tegn"/>
    <w:basedOn w:val="Standardskriftforavsnitt"/>
    <w:link w:val="Heading4"/>
    <w:semiHidden/>
    <w:rPr>
      <w:rFonts w:ascii="Cambria" w:hAnsi="Cambria" w:eastAsia="Cambria" w:cs="Cambria"/>
      <w:i/>
      <w:iCs/>
      <w:b/>
      <w:bCs/>
      <w:color w:val="4F81BD"/>
    </w:rPr>
  </w:style>
  <w:style w:type="character" w:custom="1" w:styleId="Overskrift5Tegn">
    <w:name w:val="Overskrift 5 Tegn"/>
    <w:basedOn w:val="Standardskriftforavsnitt"/>
    <w:link w:val="Heading5"/>
    <w:semiHidden/>
    <w:rPr>
      <w:rFonts w:ascii="Cambria" w:hAnsi="Cambria" w:eastAsia="Cambria" w:cs="Cambria"/>
      <w:color w:val="243F60"/>
    </w:rPr>
  </w:style>
  <w:style w:type="character" w:custom="1" w:styleId="Overskrift6Tegn">
    <w:name w:val="Overskrift 6 Tegn"/>
    <w:basedOn w:val="Standardskriftforavsnitt"/>
    <w:link w:val="Heading6"/>
    <w:semiHidden/>
    <w:rPr>
      <w:rFonts w:ascii="Cambria" w:hAnsi="Cambria" w:eastAsia="Cambria" w:cs="Cambria"/>
      <w:i/>
      <w:iCs/>
      <w:color w:val="243F60"/>
    </w:rPr>
  </w:style>
  <w:style w:type="character" w:custom="1" w:styleId="Overskrift7Tegn">
    <w:name w:val="Overskrift 7 Tegn"/>
    <w:basedOn w:val="Standardskriftforavsnitt"/>
    <w:link w:val="Heading7"/>
    <w:semiHidden/>
    <w:rPr>
      <w:rFonts w:ascii="Cambria" w:hAnsi="Cambria" w:eastAsia="Cambria" w:cs="Cambria"/>
      <w:i/>
      <w:iCs/>
      <w:color w:val="404040"/>
    </w:rPr>
  </w:style>
  <w:style w:type="character" w:custom="1" w:styleId="Overskrift8Tegn">
    <w:name w:val="Overskrift 8 Tegn"/>
    <w:basedOn w:val="Standardskriftforavsnitt"/>
    <w:link w:val="Heading8"/>
    <w:semiHidden/>
    <w:rPr>
      <w:sz w:val="20"/>
      <w:szCs w:val="20"/>
      <w:rFonts w:ascii="Cambria" w:hAnsi="Cambria" w:eastAsia="Cambria" w:cs="Cambria"/>
      <w:color w:val="404040"/>
    </w:rPr>
  </w:style>
  <w:style w:type="character" w:custom="1" w:styleId="Overskrift9Tegn">
    <w:name w:val="Overskrift 9 Tegn"/>
    <w:basedOn w:val="Standardskriftforavsnitt"/>
    <w:link w:val="Heading9"/>
    <w:semiHidden/>
    <w:rPr>
      <w:sz w:val="20"/>
      <w:szCs w:val="20"/>
      <w:rFonts w:ascii="Cambria" w:hAnsi="Cambria" w:eastAsia="Cambria" w:cs="Cambria"/>
      <w:i/>
      <w:iCs/>
      <w:color w:val="404040"/>
    </w:rPr>
  </w:style>
  <w:style w:type="paragraph" w:styleId="Brdtekst">
    <w:name w:val="Body Text"/>
    <w:basedOn w:val="Normal"/>
    <w:link w:val="BrødtekstTegn"/>
    <w:semiHidden/>
    <w:pPr>
      <w:spacing w:before="499" w:after="0" w:line="230" w:lineRule="exact"/>
      <w:autoSpaceDE w:val="false"/>
      <w:autoSpaceDN w:val="false"/>
      <w:adjustRightInd w:val="false"/>
    </w:pPr>
    <w:rPr>
      <w:sz w:val="24"/>
      <w:szCs w:val="20"/>
      <w:rFonts w:ascii="Times New Roman" w:hAnsi="Times New Roman" w:eastAsia="Times New Roman" w:cs="Times New Roman"/>
      <w:lang w:eastAsia="nb-NO"/>
    </w:rPr>
  </w:style>
  <w:style w:type="character" w:custom="1" w:styleId="BrdtekstTegn">
    <w:name w:val="Brødtekst Tegn"/>
    <w:basedOn w:val="Standardskriftforavsnitt"/>
    <w:link w:val="BodyText"/>
    <w:semiHidden/>
    <w:rPr>
      <w:sz w:val="24"/>
      <w:szCs w:val="20"/>
      <w:rFonts w:ascii="Times New Roman" w:hAnsi="Times New Roman" w:eastAsia="Times New Roman" w:cs="Times New Roman"/>
      <w:lang w:eastAsia="nb-NO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oter" Target="footer2.xml" Id="rId2" /><Relationship Type="http://schemas.openxmlformats.org/officeDocument/2006/relationships/header" Target="header1.xml" Id="rId1" /><Relationship Type="http://schemas.openxmlformats.org/officeDocument/2006/relationships/customXml" Target="../customXml/item1.xml" Id="rId10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3C62-0FEC-4151-B2A5-14C55EFE06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1A2A614B</Template>
  <TotalTime>96</TotalTime>
  <Pages>1</Pages>
  <Words>412</Words>
  <Characters>2184</Characters>
  <Application>Microsoft Office Word</Application>
  <DocSecurity>0</DocSecurity>
  <Lines>18</Lines>
  <Paragraphs>5</Paragraphs>
  <Company>Digitale Gardermoen IKS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 Borgen Tonhaugen</dc:creator>
  <cp:lastModifiedBy>Toril Borgen Tonhaugen</cp:lastModifiedBy>
  <cp:revision>21</cp:revision>
  <dcterms:created xsi:type="dcterms:W3CDTF">2012-11-08T11:47:00Z</dcterms:created>
  <dcterms:modified xsi:type="dcterms:W3CDTF">2013-01-16T15:17:00Z</dcterms:modified>
</cp:coreProperties>
</file>