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wmf" ContentType="image/x-wmf"/>
  <Default Extension="gif" ContentType="image/gif"/>
  <Default Extension="png" ContentType="image/.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Type="http://schemas.openxmlformats.org/officeDocument/2006/relationships/officeDocument" Target="word/document.xml" Id="rId4" /><Relationship Type="http://schemas.openxmlformats.org/officeDocument/2006/relationships/extended-properties" Target="docProps/app.xml" Id="rId5" /><Relationship Type="http://schemas.openxmlformats.org/package/2006/relationships/metadata/core-properties" Target="docProps/core.xml" Id="rId6" /></Relationships>
</file>

<file path=word/document.xml><?xml version="1.0" encoding="utf-8"?>
<w:document xmlns:w="http://schemas.openxmlformats.org/wordprocessingml/2006/main"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>
  <w:body>
    <w:p>
      <w:pPr>
        <w:pStyle w:val="Overskrift1"/>
        <w:rPr/>
        <w:spacing/>
      </w:pPr>
      <w:r>
        <w:rPr/>
        <w:t xml:space="preserve">Prosedyre </w:t>
      </w:r>
      <w:r>
        <w:rPr/>
        <w:t xml:space="preserve">Unnta </w:t>
      </w:r>
      <w:r>
        <w:rPr/>
        <w:t xml:space="preserve">dokumenter </w:t>
      </w:r>
      <w:r>
        <w:rPr/>
        <w:t xml:space="preserve">fra offentligheten</w:t>
      </w:r>
    </w:p>
    <w:p>
      <w:pPr>
        <w:pStyle w:val="Overskrift1"/>
        <w:rPr/>
        <w:spacing/>
      </w:pPr>
      <w:r>
        <w:rPr/>
        <w:t xml:space="preserve">Hensikt</w:t>
      </w:r>
    </w:p>
    <w:p>
      <w:pPr>
        <w:rPr/>
        <w:spacing w:after="0"/>
      </w:pPr>
      <w:r>
        <w:rPr/>
        <w:t xml:space="preserve">Sikre at dokumenter som har skjermede/sensitive opplysninger unntas fra offentlig innsyn i henhold til lover og forskrifter.</w:t>
      </w:r>
    </w:p>
    <w:p>
      <w:pPr>
        <w:rPr>
          <w:color w:val="365F91"/>
        </w:rPr>
        <w:spacing w:after="0"/>
      </w:pPr>
    </w:p>
    <w:p>
      <w:pPr>
        <w:pStyle w:val="Overskrift1"/>
        <w:rPr/>
        <w:spacing/>
      </w:pPr>
      <w:r>
        <w:rPr/>
        <w:t xml:space="preserve">Ansvar og myndighet</w:t>
      </w:r>
    </w:p>
    <w:p>
      <w:pPr>
        <w:rPr>
          <w:color w:val="000000"/>
        </w:rPr>
        <w:spacing/>
        <w:autoSpaceDE w:val="false"/>
        <w:autoSpaceDN w:val="false"/>
        <w:adjustRightInd w:val="false"/>
      </w:pPr>
      <w:bookmarkStart w:name="_GoBack" w:id="2"/>
      <w:bookmarkEnd w:id="2"/>
      <w:r>
        <w:rPr>
          <w:color w:val="1F497D"/>
        </w:rPr>
        <w:br/>
      </w:r>
      <w:r>
        <w:rPr>
          <w:color w:val="000000"/>
        </w:rPr>
        <w:t xml:space="preserve">Saksbehandler</w:t>
      </w:r>
    </w:p>
    <w:p>
      <w:pPr>
        <w:rPr>
          <w:color w:val="000000"/>
        </w:rPr>
        <w:spacing/>
        <w:autoSpaceDE w:val="false"/>
        <w:autoSpaceDN w:val="false"/>
        <w:adjustRightInd w:val="false"/>
      </w:pPr>
      <w:r>
        <w:rPr>
          <w:color w:val="000000"/>
        </w:rPr>
        <w:t xml:space="preserve">Arkivar</w:t>
      </w:r>
    </w:p>
    <w:p>
      <w:pPr>
        <w:rPr/>
        <w:spacing w:after="0"/>
      </w:pPr>
    </w:p>
    <w:p>
      <w:pPr>
        <w:pStyle w:val="Overskrift1"/>
        <w:rPr/>
        <w:spacing/>
      </w:pPr>
      <w:r>
        <w:rPr/>
        <w:t xml:space="preserve">Gjennomføring</w:t>
      </w:r>
    </w:p>
    <w:p>
      <w:pPr>
        <w:rPr/>
        <w:spacing/>
      </w:pPr>
    </w:p>
    <w:tbl>
      <w:tblPr>
        <w:tblLook w:val="04A0" w:firstRow="1" w:lastRow="0" w:firstColumn="1" w:lastColumn="0" w:noHBand="0" w:noVBand="1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jc w:val="left"/>
        <w:tblW w:w="5000" w:type="pct"/>
      </w:tblPr>
      <w:tblGrid>
        <w:gridCol w:w="694"/>
        <w:gridCol w:w="7035"/>
        <w:gridCol w:w="1557"/>
      </w:tblGrid>
      <w:tr>
        <w:trPr>
          <w:trHeight w:val="303" w:hRule="atLeast"/>
        </w:trPr>
        <w:tc>
          <w:tcPr>
            <w:tcW w:type="pct" w:w="374"/>
            <w:tcBorders>
              <w:bottom w:val="single" w:sz="4" w:space="0" w:color="auto"/>
            </w:tcBorders>
            <w:shd w:fill="EEECE1" w:color="auto" w:val="clear"/>
          </w:tcPr>
          <w:p>
            <w:pPr>
              <w:rPr>
                <w:b/>
              </w:rPr>
              <w:spacing w:after="0" w:line="240" w:lineRule="auto"/>
            </w:pPr>
            <w:bookmarkStart w:name="_Toc126475657" w:id="3"/>
            <w:r>
              <w:rPr>
                <w:b/>
              </w:rPr>
              <w:t xml:space="preserve">Trinn</w:t>
            </w:r>
          </w:p>
        </w:tc>
        <w:tc>
          <w:tcPr>
            <w:tcW w:type="pct" w:w="3788"/>
            <w:tcBorders>
              <w:bottom w:val="single" w:sz="4" w:space="0" w:color="auto"/>
            </w:tcBorders>
            <w:shd w:fill="EEECE1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Aktivitet, handling, beskrivelse</w:t>
            </w:r>
          </w:p>
        </w:tc>
        <w:tc>
          <w:tcPr>
            <w:tcW w:type="pct" w:w="838"/>
            <w:tcBorders>
              <w:bottom w:val="single" w:sz="4" w:space="0" w:color="auto"/>
            </w:tcBorders>
            <w:shd w:fill="EEECE1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Ansvarlig</w:t>
            </w:r>
          </w:p>
        </w:tc>
      </w:tr>
      <w:tr>
        <w:trPr>
          <w:trHeight w:val="303" w:hRule="atLeast"/>
        </w:trPr>
        <w:tc>
          <w:tcPr>
            <w:tcW w:type="pct" w:w="374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1</w:t>
            </w:r>
          </w:p>
        </w:tc>
        <w:tc>
          <w:tcPr>
            <w:tcW w:type="pct" w:w="3788"/>
            <w:tcBorders/>
            <w:shd w:fill="FFFFFF" w:color="auto" w:val="clear"/>
          </w:tcPr>
          <w:p>
            <w:pPr>
              <w:rPr>
                <w:color w:val="000000"/>
              </w:rPr>
              <w:spacing/>
            </w:pPr>
            <w:r>
              <w:rPr>
                <w:color w:val="000000"/>
              </w:rPr>
              <w:t xml:space="preserve">Den som oppretter saken eller dokumentet er ansvarlig for å vurdere og beslutte om journalposten bør unntas offentlighet</w:t>
            </w:r>
          </w:p>
        </w:tc>
        <w:tc>
          <w:tcPr>
            <w:tcW w:type="pct" w:w="838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Saksbehandler</w:t>
            </w:r>
          </w:p>
        </w:tc>
      </w:tr>
      <w:tr>
        <w:trPr>
          <w:trHeight w:val="303" w:hRule="atLeast"/>
        </w:trPr>
        <w:tc>
          <w:tcPr>
            <w:tcW w:type="pct" w:w="374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2</w:t>
            </w:r>
          </w:p>
        </w:tc>
        <w:tc>
          <w:tcPr>
            <w:tcW w:type="pct" w:w="3788"/>
            <w:tcBorders/>
            <w:shd w:fill="FFFFFF" w:color="auto" w:val="clear"/>
          </w:tcPr>
          <w:p>
            <w:pPr>
              <w:rPr>
                <w:color w:val="000000"/>
              </w:rPr>
              <w:spacing/>
            </w:pPr>
            <w:r>
              <w:rPr>
                <w:color w:val="000000"/>
              </w:rPr>
              <w:t xml:space="preserve">Dersom </w:t>
            </w:r>
            <w:r>
              <w:rPr>
                <w:color w:val="000000"/>
              </w:rPr>
              <w:t xml:space="preserve">tilgangskode</w:t>
            </w:r>
            <w:r>
              <w:rPr>
                <w:color w:val="000000"/>
              </w:rPr>
              <w:t xml:space="preserve">n</w:t>
            </w:r>
            <w:r>
              <w:rPr>
                <w:color w:val="000000"/>
              </w:rPr>
              <w:t xml:space="preserve"> «unntatt offentlighet»</w:t>
            </w:r>
            <w:r>
              <w:rPr>
                <w:color w:val="000000"/>
              </w:rPr>
              <w:t xml:space="preserve"> ikke settes</w:t>
            </w:r>
            <w:r>
              <w:rPr>
                <w:color w:val="000000"/>
              </w:rPr>
              <w:t xml:space="preserve"> på dokumentet, vil hele dokumentet vises i lesbar versjon på </w:t>
            </w:r>
            <w:r>
              <w:rPr>
                <w:color w:val="000000"/>
              </w:rPr>
              <w:t xml:space="preserve">kommunens </w:t>
            </w:r>
            <w:r>
              <w:rPr>
                <w:color w:val="000000"/>
              </w:rPr>
              <w:t xml:space="preserve">nettsider i</w:t>
            </w:r>
            <w:r>
              <w:rPr>
                <w:color w:val="000000"/>
              </w:rPr>
              <w:t xml:space="preserve"> 90 </w:t>
            </w:r>
            <w:r>
              <w:rPr>
                <w:color w:val="000000"/>
              </w:rPr>
              <w:t xml:space="preserve">dager etter at dokumentet er ferdigstilt i sak/arkivsystemet. </w:t>
            </w:r>
          </w:p>
        </w:tc>
        <w:tc>
          <w:tcPr>
            <w:tcW w:type="pct" w:w="838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Saksbehandler</w:t>
            </w:r>
          </w:p>
        </w:tc>
      </w:tr>
      <w:tr>
        <w:trPr>
          <w:trHeight w:val="303" w:hRule="atLeast"/>
        </w:trPr>
        <w:tc>
          <w:tcPr>
            <w:tcW w:type="pct" w:w="374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3</w:t>
            </w:r>
          </w:p>
        </w:tc>
        <w:tc>
          <w:tcPr>
            <w:tcW w:type="pct" w:w="3788"/>
            <w:tcBorders/>
            <w:shd w:fill="FFFFFF" w:color="auto" w:val="clear"/>
          </w:tcPr>
          <w:p>
            <w:pPr>
              <w:rPr>
                <w:color w:val="000000"/>
              </w:rPr>
              <w:spacing/>
            </w:pPr>
            <w:r>
              <w:rPr>
                <w:color w:val="000000"/>
              </w:rPr>
              <w:t xml:space="preserve">Når det gjelder inngående dokumenter, gjør Dokumentsent</w:t>
            </w:r>
            <w:r>
              <w:rPr>
                <w:color w:val="000000"/>
              </w:rPr>
              <w:t xml:space="preserve">e</w:t>
            </w:r>
            <w:r>
              <w:rPr>
                <w:color w:val="000000"/>
              </w:rPr>
              <w:t xml:space="preserve">ret en vurdering og tar en beslutning om tilgangskoding. Saksbehandler og saksansvarlig kan overprøve avgjørelsen til Dokumentsentret og sette på den tilgangskoden som menes er riktig.</w:t>
            </w:r>
          </w:p>
        </w:tc>
        <w:tc>
          <w:tcPr>
            <w:tcW w:type="pct" w:w="838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Saksbehandler</w:t>
            </w:r>
          </w:p>
        </w:tc>
      </w:tr>
      <w:tr>
        <w:trPr>
          <w:trHeight w:val="303" w:hRule="atLeast"/>
        </w:trPr>
        <w:tc>
          <w:tcPr>
            <w:tcW w:type="pct" w:w="374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4</w:t>
            </w:r>
          </w:p>
        </w:tc>
        <w:tc>
          <w:tcPr>
            <w:tcW w:type="pct" w:w="3788"/>
            <w:tcBorders/>
            <w:shd w:fill="FFFFFF" w:color="auto" w:val="clear"/>
          </w:tcPr>
          <w:p>
            <w:pPr>
              <w:rPr>
                <w:color w:val="000000"/>
              </w:rPr>
              <w:spacing/>
            </w:pPr>
            <w:r>
              <w:rPr>
                <w:color w:val="000000"/>
              </w:rPr>
              <w:t xml:space="preserve">Tilgangskode skal settes når dokumentet eller opplysninger i dokumentet ikke bør offentliggjøres. Tilgangskodene er forhåndsdefinert i sak/arkivsystemet</w:t>
            </w:r>
          </w:p>
        </w:tc>
        <w:tc>
          <w:tcPr>
            <w:tcW w:type="pct" w:w="838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Saksbehandler</w:t>
            </w:r>
          </w:p>
        </w:tc>
      </w:tr>
    </w:tbl>
    <w:p>
      <w:pPr>
        <w:rPr/>
        <w:spacing/>
      </w:pPr>
    </w:p>
    <w:p>
      <w:pPr>
        <w:rPr>
          <w:sz w:val="28"/>
          <w:szCs w:val="28"/>
          <w:rFonts w:ascii="Cambria" w:hAnsi="Cambria" w:eastAsia="Cambria" w:cs="Cambria"/>
          <w:b/>
          <w:bCs/>
          <w:color w:val="365F91"/>
        </w:rPr>
        <w:spacing/>
      </w:pPr>
      <w:r>
        <w:rPr/>
        <w:br w:type="page"/>
      </w:r>
    </w:p>
    <w:p>
      <w:pPr>
        <w:pStyle w:val="Overskrift1"/>
        <w:rPr/>
        <w:spacing/>
      </w:pPr>
      <w:r>
        <w:rPr/>
        <w:t xml:space="preserve">Dokumenter</w:t>
      </w:r>
    </w:p>
    <w:tbl>
      <w:tblPr>
        <w:tblStyle w:val="Tabellrutenett"/>
        <w:tblLook w:val="04A0" w:firstRow="1" w:lastRow="0" w:firstColumn="1" w:lastColumn="0" w:noHBand="0" w:noVBand="1"/>
        <w:tblBorders/>
        <w:jc w:val="left"/>
        <w:tblW w:w="0" w:type="auto"/>
      </w:tblPr>
      <w:tblGrid>
        <w:gridCol w:w="5392"/>
        <w:gridCol w:w="3690"/>
      </w:tblGrid>
      <w:tr>
        <w:trPr/>
        <w:tc>
          <w:tcPr>
            <w:tcW w:type="dxa" w:w="5392"/>
            <w:tcBorders/>
            <w:shd w:fill="D9D9D9" w:color="auto" w:val="clear"/>
            <w:tcMar>
              <w:left w:w="28" w:type="dxa"/>
              <w:right w:w="28" w:type="dxa"/>
            </w:tcMar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Dokumenter som brukes i denne prosedyren</w:t>
            </w:r>
          </w:p>
        </w:tc>
        <w:tc>
          <w:tcPr>
            <w:tcW w:type="dxa" w:w="3690"/>
            <w:tcBorders/>
            <w:shd w:fill="D9D9D9" w:color="auto" w:val="clear"/>
            <w:tcMar>
              <w:left w:w="28" w:type="dxa"/>
              <w:right w:w="28" w:type="dxa"/>
            </w:tcMar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Original lagret hvor</w:t>
            </w:r>
          </w:p>
        </w:tc>
      </w:tr>
      <w:tr>
        <w:trPr/>
        <w:tc>
          <w:tcPr>
            <w:tcW w:type="dxa" w:w="5392"/>
            <w:tcBorders/>
            <w:tcMar>
              <w:left w:w="28" w:type="dxa"/>
              <w:right w:w="28" w:type="dxa"/>
            </w:tcMar>
          </w:tcPr>
          <w:p>
            <w:pPr>
              <w:rPr/>
              <w:spacing w:after="0"/>
            </w:pPr>
          </w:p>
        </w:tc>
        <w:tc>
          <w:tcPr>
            <w:tcW w:type="dxa" w:w="3690"/>
            <w:tcBorders/>
            <w:tcMar>
              <w:left w:w="28" w:type="dxa"/>
              <w:right w:w="28" w:type="dxa"/>
            </w:tcMar>
          </w:tcPr>
          <w:p>
            <w:pPr>
              <w:rPr/>
              <w:spacing w:after="0"/>
            </w:pPr>
          </w:p>
        </w:tc>
      </w:tr>
    </w:tbl>
    <w:p>
      <w:pPr>
        <w:rPr/>
        <w:spacing/>
      </w:pPr>
    </w:p>
    <w:p>
      <w:pPr>
        <w:pStyle w:val="Overskrift1"/>
        <w:rPr/>
        <w:spacing/>
      </w:pPr>
      <w:r>
        <w:rPr/>
        <w:t xml:space="preserve">Registreringer og arkivering</w:t>
      </w:r>
    </w:p>
    <w:tbl>
      <w:tblPr>
        <w:tblStyle w:val="Tabellrutenett"/>
        <w:tblLook w:val="04A0" w:firstRow="1" w:lastRow="0" w:firstColumn="1" w:lastColumn="0" w:noHBand="0" w:noVBand="1"/>
        <w:tblBorders/>
        <w:jc w:val="left"/>
        <w:tblCellMar>
          <w:left w:w="28" w:type="dxa"/>
          <w:right w:w="28" w:type="dxa"/>
        </w:tblCellMar>
        <w:tblW w:w="0" w:type="auto"/>
      </w:tblPr>
      <w:tblGrid>
        <w:gridCol w:w="5390"/>
        <w:gridCol w:w="2126"/>
        <w:gridCol w:w="1564"/>
      </w:tblGrid>
      <w:tr>
        <w:trPr/>
        <w:tc>
          <w:tcPr>
            <w:tcW w:type="dxa" w:w="5390"/>
            <w:tcBorders/>
            <w:shd w:fill="D9D9D9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Dokumenter som produseres ved gjennomføring av prosedyren</w:t>
            </w:r>
          </w:p>
        </w:tc>
        <w:tc>
          <w:tcPr>
            <w:tcW w:type="dxa" w:w="2126"/>
            <w:tcBorders/>
            <w:shd w:fill="D9D9D9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Arkiv/lagres hvor</w:t>
            </w:r>
          </w:p>
        </w:tc>
        <w:tc>
          <w:tcPr>
            <w:tcW w:type="dxa" w:w="1564"/>
            <w:tcBorders/>
            <w:shd w:fill="D9D9D9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Arkiveringstid</w:t>
            </w:r>
          </w:p>
        </w:tc>
      </w:tr>
      <w:tr>
        <w:trPr/>
        <w:tc>
          <w:tcPr>
            <w:tcW w:type="dxa" w:w="5390"/>
            <w:tcBorders/>
          </w:tcPr>
          <w:p>
            <w:pPr>
              <w:rPr>
                <w:color w:val="000000"/>
              </w:rPr>
              <w:spacing w:after="0"/>
            </w:pPr>
            <w:r>
              <w:rPr>
                <w:color w:val="000000"/>
              </w:rPr>
              <w:t xml:space="preserve">Dokumenter unntatt fra offentlighet</w:t>
            </w:r>
          </w:p>
        </w:tc>
        <w:tc>
          <w:tcPr>
            <w:tcW w:type="dxa" w:w="2126"/>
            <w:tcBorders/>
          </w:tcPr>
          <w:p>
            <w:pPr>
              <w:rPr>
                <w:i/>
              </w:rPr>
              <w:spacing w:after="0"/>
            </w:pPr>
            <w:r>
              <w:rPr/>
              <w:t xml:space="preserve">Sak/arkivsystem </w:t>
            </w:r>
          </w:p>
        </w:tc>
        <w:tc>
          <w:tcPr>
            <w:tcW w:type="dxa" w:w="1564"/>
            <w:tcBorders/>
          </w:tcPr>
          <w:p>
            <w:pPr>
              <w:rPr/>
              <w:spacing w:after="0"/>
            </w:pPr>
            <w:r>
              <w:rPr/>
              <w:t xml:space="preserve">Evig</w:t>
            </w:r>
          </w:p>
        </w:tc>
      </w:tr>
    </w:tbl>
    <w:p>
      <w:pPr>
        <w:rPr/>
        <w:spacing/>
      </w:pPr>
    </w:p>
    <w:p>
      <w:pPr>
        <w:pStyle w:val="Overskrift1"/>
        <w:rPr/>
        <w:spacing/>
      </w:pPr>
      <w:r>
        <w:rPr/>
        <w:t xml:space="preserve">Referanser</w:t>
      </w:r>
    </w:p>
    <w:p>
      <w:pPr>
        <w:numPr>
          <w:ilvl w:val="0"/>
          <w:numId w:val="11"/>
        </w:numPr>
        <w:pStyle w:val="Listeavsnitt"/>
        <w:rPr>
          <w:i/>
        </w:rPr>
        <w:spacing/>
      </w:pPr>
      <w:r>
        <w:rPr/>
        <w:t xml:space="preserve">Offe</w:t>
      </w:r>
      <w:r>
        <w:rPr/>
        <w:t xml:space="preserve">ntlighetsloven</w:t>
      </w:r>
    </w:p>
    <w:p>
      <w:pPr>
        <w:numPr>
          <w:ilvl w:val="0"/>
          <w:numId w:val="11"/>
        </w:numPr>
        <w:pStyle w:val="Listeavsnitt"/>
        <w:rPr>
          <w:i/>
        </w:rPr>
        <w:spacing/>
      </w:pPr>
      <w:r>
        <w:rPr/>
        <w:t xml:space="preserve">Forvaltningsloven</w:t>
      </w:r>
    </w:p>
    <w:p>
      <w:pPr>
        <w:numPr>
          <w:ilvl w:val="0"/>
          <w:numId w:val="11"/>
        </w:numPr>
        <w:pStyle w:val="Listeavsnitt"/>
        <w:rPr>
          <w:i/>
        </w:rPr>
        <w:spacing/>
      </w:pPr>
      <w:r>
        <w:rPr/>
        <w:t xml:space="preserve">Personopplysningsloven</w:t>
      </w:r>
    </w:p>
    <w:p>
      <w:pPr>
        <w:numPr>
          <w:ilvl w:val="0"/>
          <w:numId w:val="11"/>
        </w:numPr>
        <w:pStyle w:val="Listeavsnitt"/>
        <w:rPr>
          <w:i/>
        </w:rPr>
        <w:spacing/>
      </w:pPr>
      <w:r>
        <w:rPr/>
        <w:t xml:space="preserve">Matrikkelloven</w:t>
      </w:r>
    </w:p>
    <w:sectPr>
      <w:type w:val="nextPage"/>
      <w:pgSz w:w="11906" w:h="16838"/>
      <w:pgMar w:top="2268" w:right="1418" w:bottom="1418" w:left="1418" w:footer="709" w:header="709" w:gutter="0"/>
      <w:pgBorders/>
      <w:docGrid w:linePitch="360"/>
      <w:pgNumType w:fmt="decimal"/>
      <w:headerReference w:type="default" r:id="rId1"/>
      <w:footerReference w:type="default" r:id="rId2"/>
      <w:cols w:num="1" w:equalWidth="1" w:space="708"/>
    </w:sectPr>
  </w:body>
</w:document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Bdr>
        <w:top w:val="single" w:sz="4" w:space="0" w:color="000000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  <w:rPr/>
      <w:spacing/>
    </w:pPr>
    <w:r>
      <w:rPr>
        <w:sz w:val="16"/>
        <w:rFonts w:ascii="Verdana" w:hAnsi="Verdana" w:eastAsia="Verdana" w:cs="Verdana"/>
        <w:color w:val="000000"/>
      </w:rPr>
      <w:t xml:space="preserve">05.03.2013 15:31:13</w:t>
    </w:r>
    <w:r>
      <w:rPr>
        <w:sz w:val="16"/>
        <w:rFonts w:ascii="Verdana" w:hAnsi="Verdana" w:eastAsia="Verdana" w:cs="Verdana"/>
        <w:color w:val="000000"/>
      </w:rPr>
      <w:tab/>
      <w:tab/>
      <w:tab/>
      <w:tab/>
      <w:t xml:space="preserve">Side </w:t>
    </w:r>
    <w:r>
      <w:rPr>
        <w:sz w:val="16"/>
        <w:rFonts w:ascii="Verdana" w:hAnsi="Verdana" w:eastAsia="Verdana" w:cs="Verdana"/>
      </w:rPr>
      <w:fldChar w:fldCharType="begin"/>
    </w:r>
    <w:r>
      <w:rPr>
        <w:sz w:val="16"/>
        <w:rFonts w:ascii="Verdana" w:hAnsi="Verdana" w:eastAsia="Verdana" w:cs="Verdana"/>
      </w:rPr>
      <w:instrText>PAGE Page</w:instrText>
    </w:r>
    <w:r>
      <w:rPr>
        <w:sz w:val="16"/>
        <w:rFonts w:ascii="Verdana" w:hAnsi="Verdana" w:eastAsia="Verdana" w:cs="Verdana"/>
      </w:rPr>
      <w:fldChar w:fldCharType="separate"/>
    </w:r>
    <w:r>
      <w:rPr/>
      <w:t xml:space="preserve">Page</w:t>
    </w:r>
    <w:r>
      <w:rPr>
        <w:sz w:val="16"/>
        <w:rFonts w:ascii="Verdana" w:hAnsi="Verdana" w:eastAsia="Verdana" w:cs="Verdana"/>
      </w:rPr>
      <w:fldChar w:fldCharType="end"/>
    </w:r>
    <w:r>
      <w:rPr>
        <w:sz w:val="16"/>
        <w:rFonts w:ascii="Verdana" w:hAnsi="Verdana" w:eastAsia="Verdana" w:cs="Verdana"/>
        <w:color w:val="000000"/>
      </w:rPr>
      <w:t xml:space="preserve"> av </w:t>
    </w:r>
    <w:r>
      <w:rPr>
        <w:sz w:val="16"/>
        <w:rFonts w:ascii="Verdana" w:hAnsi="Verdana" w:eastAsia="Verdana" w:cs="Verdana"/>
      </w:rPr>
      <w:fldChar w:fldCharType="begin"/>
    </w:r>
    <w:r>
      <w:rPr>
        <w:sz w:val="16"/>
        <w:rFonts w:ascii="Verdana" w:hAnsi="Verdana" w:eastAsia="Verdana" w:cs="Verdana"/>
      </w:rPr>
      <w:instrText xml:space="preserve">NUMPAGES 1</w:instrText>
    </w:r>
    <w:r>
      <w:rPr>
        <w:sz w:val="16"/>
        <w:rFonts w:ascii="Verdana" w:hAnsi="Verdana" w:eastAsia="Verdana" w:cs="Verdana"/>
      </w:rPr>
      <w:fldChar w:fldCharType="separate"/>
    </w:r>
    <w:r>
      <w:rPr/>
      <w:t xml:space="preserve">1</w:t>
    </w:r>
    <w:r>
      <w:rPr>
        <w:sz w:val="16"/>
        <w:rFonts w:ascii="Verdana" w:hAnsi="Verdana" w:eastAsia="Verdana" w:cs="Verdana"/>
      </w:rPr>
      <w:fldChar w:fldCharType="end"/>
    </w:r>
  </w:p>
  <w:p>
    <w:pPr>
      <w:rPr/>
      <w:spacing/>
    </w:pPr>
    <w:r>
      <w:rPr>
        <w:sz w:val="16"/>
        <w:rFonts w:ascii="Verdana" w:hAnsi="Verdana" w:eastAsia="Verdana" w:cs="Verdana"/>
        <w:color w:val="000000"/>
      </w:rPr>
      <w:t xml:space="preserve">Dette dokumentet er ikke godkjent i utskrevet format med mindre det kommer fram særskilt i prosedyren. Godkjent versjon er kun tilgjengelig i elektronisk kvalitetssystem.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tbl>
    <w:tblPr>
      <w:tblStyle w:val="TableGrid"/>
      <w:tblLook w:val="04A0" w:firstRow="1" w:lastRow="0" w:firstColumn="1" w:lastColumn="0" w:noHBand="0" w:noVBand="1"/>
      <w:tblInd w:w="40" w:type="dxa"/>
      <w:tblBorders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</w:tblBorders>
      <w:jc w:val="left"/>
      <w:tblLayout w:type="fixed"/>
      <w:tblCellMar>
        <w:top w:w="40" w:type="dxa"/>
        <w:left w:w="40" w:type="dxa"/>
        <w:bottom w:w="40" w:type="dxa"/>
        <w:right w:w="40" w:type="dxa"/>
      </w:tblCellMar>
      <w:tblW w:type="dxa" w:w="9070"/>
    </w:tblPr>
    <w:tblGrid>
      <w:gridCol w:w="4535"/>
      <w:gridCol w:w="4535"/>
    </w:tblGrid>
    <w:tr>
      <w:trPr/>
      <w:tc>
        <w:tcPr>
          <w:tcW w:type="dxa" w:w="4535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rPr/>
            <w:jc w:val="left"/>
            <w:spacing w:before="0" w:after="0" w:line="180" w:lineRule="atLeast"/>
          </w:pPr>
          <w:r>
            <w:rPr>
              <w:sz w:val="15"/>
              <w:rFonts w:ascii="Verdana" w:hAnsi="Verdana" w:eastAsia="Verdana" w:cs="Verdana"/>
              <w:color w:val="000000"/>
            </w:rPr>
            <w:t xml:space="preserve">ID: 3762  Versjonsnr: 001</w:t>
          </w:r>
        </w:p>
        <w:p>
          <w:pPr>
            <w:rPr>
              <w:sz w:val="22"/>
              <w:szCs w:val="22"/>
              <w:rFonts w:ascii="Calibri" w:hAnsi="Calibri" w:eastAsia="Calibri" w:cs="Calibri"/>
              <w:lang w:val="nb-NO" w:eastAsia="ar-SA"/>
            </w:rPr>
            <w:pageBreakBefore w:val="0"/>
            <w:jc w:val="left"/>
            <w:spacing w:before="0" w:after="0" w:line="180" w:lineRule="atLeast"/>
          </w:pPr>
          <w:r>
            <w:rPr>
              <w:sz w:val="15"/>
              <w:rFonts w:ascii="Verdana" w:hAnsi="Verdana" w:eastAsia="Verdana" w:cs="Verdana"/>
              <w:color w:val="000000"/>
            </w:rPr>
            <w:t xml:space="preserve"/>
          </w:r>
          <w:r>
            <w:rPr>
              <w:sz w:val="21"/>
              <w:szCs w:val="22"/>
              <w:rFonts w:ascii="Verdana" w:hAnsi="Verdana" w:eastAsia="Verdana" w:cs="Verdana"/>
              <w:b/>
              <w:color w:val="000000"/>
              <w:lang w:val="nb-NO" w:eastAsia="ar-SA"/>
            </w:rPr>
            <w:t xml:space="preserve">Prosedyre Unnta dokument fra offentlighet</w:t>
          </w:r>
        </w:p>
      </w:tc>
      <w:tc>
        <w:tcPr>
          <w:tcW w:type="dxa" w:w="4535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rPr/>
            <w:jc w:val="right"/>
            <w:spacing w:before="0" w:after="0" w:line="180" w:lineRule="atLeast"/>
          </w:pPr>
          <w:r>
            <w:rPr/>
            <w:drawing>
              <wp:inline>
                <wp:extent cx="942158" cy="361636"/>
                <wp:docPr id="1" name="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158" cy="3616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27"/>
              <w:rFonts w:ascii="Verdana" w:hAnsi="Verdana" w:eastAsia="Verdana" w:cs="Verdana"/>
              <w:b/>
              <w:color w:val="000000"/>
            </w:rPr>
            <w:t xml:space="preserve">  Felles kommuner</w:t>
          </w:r>
        </w:p>
      </w:tc>
    </w:tr>
  </w:tbl>
  <w:tbl>
    <w:tblPr>
      <w:tblStyle w:val="TableGrid"/>
      <w:tblLook w:val="04A0" w:firstRow="1" w:lastRow="0" w:firstColumn="1" w:lastColumn="0" w:noHBand="0" w:noVBand="1"/>
      <w:tblInd w:w="40" w:type="dxa"/>
      <w:tblBorders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</w:tblBorders>
      <w:jc w:val="left"/>
      <w:tblLayout w:type="fixed"/>
      <w:tblCellMar>
        <w:top w:w="40" w:type="dxa"/>
        <w:left w:w="40" w:type="dxa"/>
        <w:bottom w:w="40" w:type="dxa"/>
        <w:right w:w="40" w:type="dxa"/>
      </w:tblCellMar>
      <w:tblW w:type="dxa" w:w="9070"/>
    </w:tblPr>
    <w:tblGrid>
      <w:gridCol w:w="4535"/>
      <w:gridCol w:w="4535"/>
    </w:tblGrid>
    <w:tr>
      <w:trPr/>
      <w:tc>
        <w:tcPr>
          <w:tcW w:type="dxa" w:w="4535"/>
          <w:tcBorders>
            <w:top w:val="single" w:sz="4" w:space="0" w:color="auto"/>
            <w:left w:val="none" w:sz="0" w:space="0" w:color="auto"/>
            <w:bottom w:val="single" w:sz="4" w:space="0" w:color="auto"/>
            <w:right w:val="none" w:sz="0" w:space="0" w:color="auto"/>
          </w:tcBorders>
          <w:hMerge w:val="restart"/>
        </w:tcPr>
        <w:p>
          <w:pPr>
            <w:rPr/>
            <w:jc w:val="left"/>
            <w:spacing w:before="0" w:after="0" w:line="180" w:lineRule="atLeast"/>
          </w:pPr>
          <w:r>
            <w:rPr>
              <w:sz w:val="15"/>
              <w:rFonts w:ascii="Verdana" w:hAnsi="Verdana" w:eastAsia="Verdana" w:cs="Verdana"/>
              <w:b/>
              <w:color w:val="000000"/>
            </w:rPr>
            <w:t xml:space="preserve">Ansvarsområde:     </w:t>
          </w:r>
          <w:r>
            <w:rPr>
              <w:sz w:val="15"/>
              <w:rFonts w:ascii="Verdana" w:hAnsi="Verdana" w:eastAsia="Verdana" w:cs="Verdana"/>
              <w:color w:val="000000"/>
            </w:rPr>
            <w:t xml:space="preserve">Felles ØRU / Saksbehandling og arkiv / Post og arkiv / Motta og fordele</w:t>
          </w:r>
        </w:p>
        <w:p>
          <w:pPr>
            <w:rPr>
              <w:sz w:val="22"/>
              <w:szCs w:val="22"/>
              <w:rFonts w:ascii="Calibri" w:hAnsi="Calibri" w:eastAsia="Calibri" w:cs="Calibri"/>
              <w:lang w:val="nb-NO" w:eastAsia="ar-SA"/>
            </w:rPr>
            <w:pageBreakBefore w:val="0"/>
            <w:jc w:val="left"/>
            <w:spacing w:before="0" w:after="0" w:line="180" w:lineRule="atLeast"/>
          </w:pPr>
          <w:r>
            <w:rPr>
              <w:sz w:val="15"/>
              <w:rFonts w:ascii="Verdana" w:hAnsi="Verdana" w:eastAsia="Verdana" w:cs="Verdana"/>
              <w:color w:val="000000"/>
            </w:rPr>
            <w:t xml:space="preserve"/>
          </w:r>
          <w:r>
            <w:rPr>
              <w:sz w:val="15"/>
              <w:szCs w:val="22"/>
              <w:rFonts w:ascii="Verdana" w:hAnsi="Verdana" w:eastAsia="Verdana" w:cs="Verdana"/>
              <w:b/>
              <w:color w:val="000000"/>
              <w:lang w:val="nb-NO" w:eastAsia="ar-SA"/>
            </w:rPr>
            <w:t xml:space="preserve">Dok. kategori:         </w:t>
          </w:r>
          <w:r>
            <w:rPr>
              <w:sz w:val="15"/>
              <w:szCs w:val="22"/>
              <w:rFonts w:ascii="Verdana" w:hAnsi="Verdana" w:eastAsia="Verdana" w:cs="Verdana"/>
              <w:color w:val="000000"/>
              <w:lang w:val="nb-NO" w:eastAsia="ar-SA"/>
            </w:rPr>
            <w:t xml:space="preserve">Prosedyre  </w:t>
          </w:r>
          <w:r>
            <w:rPr>
              <w:sz w:val="15"/>
              <w:szCs w:val="22"/>
              <w:rFonts w:ascii="Verdana" w:hAnsi="Verdana" w:eastAsia="Verdana" w:cs="Verdana"/>
              <w:b/>
              <w:color w:val="000000"/>
              <w:lang w:val="nb-NO" w:eastAsia="ar-SA"/>
            </w:rPr>
            <w:t xml:space="preserve">Sist endret:     </w:t>
          </w:r>
          <w:r>
            <w:rPr>
              <w:sz w:val="15"/>
              <w:szCs w:val="22"/>
              <w:rFonts w:ascii="Verdana" w:hAnsi="Verdana" w:eastAsia="Verdana" w:cs="Verdana"/>
              <w:color w:val="000000"/>
              <w:lang w:val="nb-NO" w:eastAsia="ar-SA"/>
            </w:rPr>
            <w:t xml:space="preserve">16.01.2013 ( Foretaksmaster )       </w:t>
          </w:r>
        </w:p>
        <w:p>
          <w:pPr>
            <w:rPr>
              <w:sz w:val="22"/>
              <w:szCs w:val="22"/>
              <w:rFonts w:ascii="Calibri" w:hAnsi="Calibri" w:eastAsia="Calibri" w:cs="Calibri"/>
              <w:lang w:val="nb-NO" w:eastAsia="ar-SA"/>
            </w:rPr>
            <w:pageBreakBefore w:val="0"/>
            <w:jc w:val="left"/>
            <w:spacing w:before="0" w:after="0" w:line="180" w:lineRule="atLeast"/>
          </w:pPr>
          <w:r>
            <w:rPr>
              <w:sz w:val="15"/>
              <w:szCs w:val="22"/>
              <w:rFonts w:ascii="Verdana" w:hAnsi="Verdana" w:eastAsia="Verdana" w:cs="Verdana"/>
              <w:color w:val="000000"/>
              <w:lang w:val="nb-NO" w:eastAsia="ar-SA"/>
            </w:rPr>
            <w:t xml:space="preserve"/>
          </w:r>
          <w:r>
            <w:rPr>
              <w:sz w:val="15"/>
              <w:szCs w:val="22"/>
              <w:rFonts w:ascii="Verdana" w:hAnsi="Verdana" w:eastAsia="Verdana" w:cs="Verdana"/>
              <w:b/>
              <w:color w:val="000000"/>
            </w:rPr>
            <w:t xml:space="preserve">Siste revisjon:         </w:t>
          </w:r>
          <w:r>
            <w:rPr>
              <w:sz w:val="15"/>
              <w:szCs w:val="22"/>
              <w:rFonts w:ascii="Verdana" w:hAnsi="Verdana" w:eastAsia="Verdana" w:cs="Verdana"/>
              <w:color w:val="000000"/>
            </w:rPr>
            <w:t xml:space="preserve">Ikke satt           </w:t>
          </w:r>
          <w:r>
            <w:rPr>
              <w:sz w:val="15"/>
              <w:szCs w:val="22"/>
              <w:rFonts w:ascii="Verdana" w:hAnsi="Verdana" w:eastAsia="Verdana" w:cs="Verdana"/>
              <w:b/>
              <w:color w:val="000000"/>
            </w:rPr>
            <w:t xml:space="preserve">Neste revisjon:     </w:t>
          </w:r>
          <w:r>
            <w:rPr>
              <w:sz w:val="15"/>
              <w:szCs w:val="22"/>
              <w:rFonts w:ascii="Verdana" w:hAnsi="Verdana" w:eastAsia="Verdana" w:cs="Verdana"/>
              <w:color w:val="000000"/>
            </w:rPr>
            <w:t xml:space="preserve">Ikke satt</w:t>
          </w:r>
        </w:p>
        <w:p>
          <w:pPr>
            <w:rPr>
              <w:sz w:val="22"/>
              <w:szCs w:val="22"/>
              <w:rFonts w:ascii="Calibri" w:hAnsi="Calibri" w:eastAsia="Calibri" w:cs="Calibri"/>
              <w:lang w:val="nb-NO" w:eastAsia="ar-SA"/>
            </w:rPr>
            <w:pageBreakBefore w:val="0"/>
            <w:jc w:val="left"/>
            <w:spacing w:before="0" w:after="0" w:line="180" w:lineRule="atLeast"/>
          </w:pPr>
          <w:r>
            <w:rPr>
              <w:sz w:val="15"/>
              <w:szCs w:val="22"/>
              <w:rFonts w:ascii="Verdana" w:hAnsi="Verdana" w:eastAsia="Verdana" w:cs="Verdana"/>
              <w:color w:val="000000"/>
            </w:rPr>
            <w:t xml:space="preserve"/>
          </w:r>
          <w:r>
            <w:rPr>
              <w:sz w:val="15"/>
              <w:szCs w:val="22"/>
              <w:rFonts w:ascii="Verdana" w:hAnsi="Verdana" w:eastAsia="Verdana" w:cs="Verdana"/>
              <w:b/>
              <w:color w:val="000000"/>
              <w:lang w:val="nb-NO" w:eastAsia="ar-SA"/>
            </w:rPr>
            <w:t xml:space="preserve">Godkjent:                </w:t>
          </w:r>
          <w:r>
            <w:rPr>
              <w:sz w:val="15"/>
              <w:szCs w:val="22"/>
              <w:rFonts w:ascii="Verdana" w:hAnsi="Verdana" w:eastAsia="Verdana" w:cs="Verdana"/>
              <w:color w:val="000000"/>
              <w:lang w:val="nb-NO" w:eastAsia="ar-SA"/>
            </w:rPr>
            <w:t xml:space="preserve">GODKJENT 17.01.2013 ( Arne Bruknapp (UK) )</w:t>
          </w:r>
        </w:p>
      </w:tc>
      <w:tc>
        <w:tcPr>
          <w:tcW w:type="dxa" w:w="4535"/>
          <w:tcBorders/>
          <w:hMerge w:val="continue"/>
        </w:tcPr>
        <w:p>
          <w:pPr>
            <w:pStyle w:val="Normal">
              <w:rPr/>
            </w:pStyle>
          </w:pPr>
        </w:p>
      </w:tc>
    </w:tr>
  </w:tbl>
  <w:p>
    <w:pPr>
      <w:rPr/>
      <w:spacing w:before="0" w:after="0"/>
    </w:pPr>
  </w:p>
</w: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abstractNum w:abstractNumId="0">
    <w:lvl w:ilvl="0">
      <w:start w:val="1"/>
      <w:numFmt w:val="decimal"/>
      <w:lvlText w:val="%1."/>
      <w:suff w:val="tab"/>
      <w:pPr>
        <w:ind w:left="720"/>
        <w:spacing/>
      </w:pPr>
      <w:rPr>
        <w:rFonts w:ascii="Times New Roman" w:hAnsi="Times New Roman" w:eastAsia="Times New Roman" w:cs="Times New Roman"/>
      </w:rPr>
    </w:lvl>
    <w:lvl w:ilvl="1">
      <w:start w:val="1"/>
      <w:lvlJc w:val="right"/>
      <w:numFmt w:val="lowerLetter"/>
      <w:lvlText w:val="%2."/>
      <w:suff w:val="tab"/>
      <w:pPr>
        <w:ind w:left="1440"/>
        <w:spacing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suff w:val="tab"/>
      <w:pPr>
        <w:ind w:left="2160"/>
        <w:spacing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4."/>
      <w:suff w:val="tab"/>
      <w:pPr>
        <w:ind w:left="2880"/>
        <w:spacing/>
      </w:pPr>
      <w:rPr>
        <w:rFonts w:ascii="Times New Roman" w:hAnsi="Times New Roman" w:eastAsia="Times New Roman" w:cs="Times New Roman"/>
      </w:rPr>
    </w:lvl>
    <w:lvl w:ilvl="4">
      <w:start w:val="1"/>
      <w:lvlJc w:val="right"/>
      <w:numFmt w:val="lowerLetter"/>
      <w:lvlText w:val="%5."/>
      <w:suff w:val="tab"/>
      <w:pPr>
        <w:ind w:left="3600"/>
        <w:spacing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lvlText w:val="%6."/>
      <w:suff w:val="tab"/>
      <w:pPr>
        <w:ind w:left="4320"/>
        <w:spacing/>
      </w:pPr>
      <w:rPr>
        <w:rFonts w:ascii="Times New Roman" w:hAnsi="Times New Roman" w:eastAsia="Times New Roman" w:cs="Times New Roman"/>
      </w:rPr>
    </w:lvl>
    <w:lvl w:ilvl="6">
      <w:start w:val="1"/>
      <w:numFmt w:val="decimal"/>
      <w:lvlText w:val="%7."/>
      <w:suff w:val="tab"/>
      <w:pPr>
        <w:ind w:left="5040"/>
        <w:spacing/>
      </w:pPr>
      <w:rPr>
        <w:rFonts w:ascii="Times New Roman" w:hAnsi="Times New Roman" w:eastAsia="Times New Roman" w:cs="Times New Roman"/>
      </w:rPr>
    </w:lvl>
    <w:lvl w:ilvl="7">
      <w:start w:val="1"/>
      <w:lvlJc w:val="right"/>
      <w:numFmt w:val="lowerLetter"/>
      <w:lvlText w:val="%8."/>
      <w:suff w:val="tab"/>
      <w:pPr>
        <w:ind w:left="5760"/>
        <w:spacing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lvlText w:val="%9."/>
      <w:suff w:val="tab"/>
      <w:pPr>
        <w:ind w:left="6480"/>
        <w:spacing/>
      </w:pPr>
      <w:rPr>
        <w:rFonts w:ascii="Times New Roman" w:hAnsi="Times New Roman" w:eastAsia="Times New Roman" w:cs="Times New Roman"/>
      </w:rPr>
    </w:lvl>
  </w:abstractNum>
  <w:abstractNum w:abstractNumId="1">
    <w:lvl w:ilvl="0">
      <w:start w:val="1"/>
      <w:numFmt w:val="bullet"/>
      <w:lvlText w:val=""/>
      <w:suff w:val="tab"/>
      <w:pPr>
        <w:ind w:left="72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/>
        <w:spacing/>
      </w:pPr>
      <w:rPr>
        <w:rFonts w:ascii="Wingdings" w:hAnsi="Wingdings" w:eastAsia="Wingdings" w:cs="Wingdings"/>
      </w:rPr>
    </w:lvl>
  </w:abstractNum>
  <w:abstractNum w:abstractNumId="2">
    <w:lvl w:ilvl="0">
      <w:start w:val="1"/>
      <w:numFmt w:val="bullet"/>
      <w:lvlText w:val=""/>
      <w:suff w:val="tab"/>
      <w:pPr>
        <w:ind w:left="720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 w:firstLine="-360"/>
        <w:spacing/>
      </w:pPr>
      <w:rPr>
        <w:rFonts w:ascii="Wingdings" w:hAnsi="Wingdings" w:eastAsia="Wingdings" w:cs="Wingdings"/>
      </w:rPr>
    </w:lvl>
  </w:abstractNum>
  <w:abstractNum w:abstractNumId="3">
    <w:lvl w:ilvl="0">
      <w:start w:val="1"/>
      <w:numFmt w:val="lowerLetter"/>
      <w:lvlText w:val="%1)"/>
      <w:suff w:val="tab"/>
      <w:pPr>
        <w:ind w:left="360" w:firstLine="-360"/>
        <w:spacing/>
      </w:pPr>
      <w:rPr/>
    </w:lvl>
    <w:lvl w:ilvl="1">
      <w:start w:val="1"/>
      <w:numFmt w:val="lowerLetter"/>
      <w:lvlText w:val="%2."/>
      <w:suff w:val="tab"/>
      <w:pPr>
        <w:ind w:left="1080" w:firstLine="-360"/>
        <w:spacing/>
      </w:pPr>
      <w:rPr/>
    </w:lvl>
    <w:lvl w:ilvl="2">
      <w:start w:val="1"/>
      <w:lvlJc w:val="right"/>
      <w:numFmt w:val="lowerRoman"/>
      <w:lvlText w:val="%3."/>
      <w:suff w:val="tab"/>
      <w:pPr>
        <w:ind w:left="1800" w:firstLine="-180"/>
        <w:spacing/>
      </w:pPr>
      <w:rPr/>
    </w:lvl>
    <w:lvl w:ilvl="3">
      <w:start w:val="1"/>
      <w:numFmt w:val="decimal"/>
      <w:lvlText w:val="%4."/>
      <w:suff w:val="tab"/>
      <w:pPr>
        <w:ind w:left="2520" w:firstLine="-360"/>
        <w:spacing/>
      </w:pPr>
      <w:rPr/>
    </w:lvl>
    <w:lvl w:ilvl="4">
      <w:start w:val="1"/>
      <w:numFmt w:val="lowerLetter"/>
      <w:lvlText w:val="%5."/>
      <w:suff w:val="tab"/>
      <w:pPr>
        <w:ind w:left="3240" w:firstLine="-360"/>
        <w:spacing/>
      </w:pPr>
      <w:rPr/>
    </w:lvl>
    <w:lvl w:ilvl="5">
      <w:start w:val="1"/>
      <w:lvlJc w:val="right"/>
      <w:numFmt w:val="lowerRoman"/>
      <w:lvlText w:val="%6."/>
      <w:suff w:val="tab"/>
      <w:pPr>
        <w:ind w:left="3960" w:firstLine="-180"/>
        <w:spacing/>
      </w:pPr>
      <w:rPr/>
    </w:lvl>
    <w:lvl w:ilvl="6">
      <w:start w:val="1"/>
      <w:numFmt w:val="decimal"/>
      <w:lvlText w:val="%7."/>
      <w:suff w:val="tab"/>
      <w:pPr>
        <w:ind w:left="4680" w:firstLine="-360"/>
        <w:spacing/>
      </w:pPr>
      <w:rPr/>
    </w:lvl>
    <w:lvl w:ilvl="7">
      <w:start w:val="1"/>
      <w:numFmt w:val="lowerLetter"/>
      <w:lvlText w:val="%8."/>
      <w:suff w:val="tab"/>
      <w:pPr>
        <w:ind w:left="5400" w:firstLine="-360"/>
        <w:spacing/>
      </w:pPr>
      <w:rPr/>
    </w:lvl>
    <w:lvl w:ilvl="8">
      <w:start w:val="1"/>
      <w:lvlJc w:val="right"/>
      <w:numFmt w:val="lowerRoman"/>
      <w:lvlText w:val="%9."/>
      <w:suff w:val="tab"/>
      <w:pPr>
        <w:ind w:left="6120" w:firstLine="-180"/>
        <w:spacing/>
      </w:pPr>
      <w:rPr/>
    </w:lvl>
  </w:abstractNum>
  <w:abstractNum w:abstractNumId="4">
    <w:lvl w:ilvl="0">
      <w:start w:val="1"/>
      <w:numFmt w:val="bullet"/>
      <w:lvlText w:val=""/>
      <w:suff w:val="tab"/>
      <w:pPr>
        <w:ind w:left="720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 w:firstLine="-360"/>
        <w:spacing/>
      </w:pPr>
      <w:rPr>
        <w:rFonts w:ascii="Wingdings" w:hAnsi="Wingdings" w:eastAsia="Wingdings" w:cs="Wingdings"/>
      </w:rPr>
    </w:lvl>
  </w:abstractNum>
  <w:abstractNum w:abstractNumId="5">
    <w:lvl w:ilvl="0">
      <w:start w:val="1"/>
      <w:numFmt w:val="bullet"/>
      <w:lvlText w:val=""/>
      <w:suff w:val="tab"/>
      <w:pPr>
        <w:ind w:left="720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 w:firstLine="-360"/>
        <w:spacing/>
      </w:pPr>
      <w:rPr>
        <w:rFonts w:ascii="Wingdings" w:hAnsi="Wingdings" w:eastAsia="Wingdings" w:cs="Wingdings"/>
      </w:rPr>
    </w:lvl>
  </w:abstractNum>
  <w:abstractNum w:abstractNumId="6">
    <w:lvl w:ilvl="0">
      <w:start w:val="1"/>
      <w:numFmt w:val="decimal"/>
      <w:lvlText w:val="%1"/>
      <w:suff w:val="tab"/>
      <w:pStyle w:val="Overskrift1"/>
      <w:pPr>
        <w:ind w:left="432" w:firstLine="-432"/>
        <w:spacing/>
      </w:pPr>
      <w:rPr/>
    </w:lvl>
    <w:lvl w:ilvl="1">
      <w:start w:val="1"/>
      <w:numFmt w:val="decimal"/>
      <w:lvlText w:val="%1.%2"/>
      <w:suff w:val="tab"/>
      <w:pStyle w:val="Overskrift2"/>
      <w:pPr>
        <w:ind w:left="576" w:firstLine="-576"/>
        <w:spacing/>
      </w:pPr>
      <w:rPr/>
    </w:lvl>
    <w:lvl w:ilvl="2">
      <w:start w:val="1"/>
      <w:numFmt w:val="decimal"/>
      <w:lvlText w:val="%1.%2.%3"/>
      <w:suff w:val="tab"/>
      <w:pStyle w:val="Overskrift3"/>
      <w:pPr>
        <w:ind w:left="720" w:firstLine="-720"/>
        <w:spacing/>
      </w:pPr>
      <w:rPr/>
    </w:lvl>
    <w:lvl w:ilvl="3">
      <w:start w:val="1"/>
      <w:numFmt w:val="decimal"/>
      <w:lvlText w:val="%1.%2.%3.%4"/>
      <w:suff w:val="tab"/>
      <w:pStyle w:val="Overskrift4"/>
      <w:pPr>
        <w:ind w:left="864" w:firstLine="-864"/>
        <w:spacing/>
      </w:pPr>
      <w:rPr/>
    </w:lvl>
    <w:lvl w:ilvl="4">
      <w:start w:val="1"/>
      <w:numFmt w:val="decimal"/>
      <w:lvlText w:val="%1.%2.%3.%4.%5"/>
      <w:suff w:val="tab"/>
      <w:pStyle w:val="Overskrift5"/>
      <w:pPr>
        <w:ind w:left="1008" w:firstLine="-1008"/>
        <w:spacing/>
      </w:pPr>
      <w:rPr/>
    </w:lvl>
    <w:lvl w:ilvl="5">
      <w:start w:val="1"/>
      <w:numFmt w:val="decimal"/>
      <w:lvlText w:val="%1.%2.%3.%4.%5.%6"/>
      <w:suff w:val="tab"/>
      <w:pStyle w:val="Overskrift6"/>
      <w:pPr>
        <w:ind w:left="1152" w:firstLine="-1152"/>
        <w:spacing/>
      </w:pPr>
      <w:rPr/>
    </w:lvl>
    <w:lvl w:ilvl="6">
      <w:start w:val="1"/>
      <w:numFmt w:val="decimal"/>
      <w:lvlText w:val="%1.%2.%3.%4.%5.%6.%7"/>
      <w:suff w:val="tab"/>
      <w:pStyle w:val="Overskrift7"/>
      <w:pPr>
        <w:ind w:left="1296" w:firstLine="-1296"/>
        <w:spacing/>
      </w:pPr>
      <w:rPr/>
    </w:lvl>
    <w:lvl w:ilvl="7">
      <w:start w:val="1"/>
      <w:numFmt w:val="decimal"/>
      <w:lvlText w:val="%1.%2.%3.%4.%5.%6.%7.%8"/>
      <w:suff w:val="tab"/>
      <w:pStyle w:val="Overskrift8"/>
      <w:pPr>
        <w:ind w:left="1440" w:firstLine="-1440"/>
        <w:spacing/>
      </w:pPr>
      <w:rPr/>
    </w:lvl>
    <w:lvl w:ilvl="8">
      <w:start w:val="1"/>
      <w:numFmt w:val="decimal"/>
      <w:lvlText w:val="%1.%2.%3.%4.%5.%6.%7.%8.%9"/>
      <w:suff w:val="tab"/>
      <w:pStyle w:val="Overskrift9"/>
      <w:pPr>
        <w:ind w:left="1584" w:firstLine="-1584"/>
        <w:spacing/>
      </w:pPr>
      <w:rPr/>
    </w:lvl>
  </w:abstractNum>
  <w:abstractNum w:abstractNumId="7">
    <w:lvl w:ilvl="0">
      <w:start w:val="1"/>
      <w:numFmt w:val="bullet"/>
      <w:lvlText w:val=""/>
      <w:suff w:val="tab"/>
      <w:pPr>
        <w:ind w:left="720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 w:firstLine="-360"/>
        <w:spacing/>
      </w:pPr>
      <w:rPr>
        <w:rFonts w:ascii="Wingdings" w:hAnsi="Wingdings" w:eastAsia="Wingdings" w:cs="Wingdings"/>
      </w:rPr>
    </w:lvl>
  </w:abstractNum>
  <w:abstractNum w:abstractNumId="8">
    <w:lvl w:ilvl="0">
      <w:start w:val="1"/>
      <w:numFmt w:val="bullet"/>
      <w:lvlText w:val=""/>
      <w:suff w:val="tab"/>
      <w:pPr>
        <w:ind w:left="720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 w:firstLine="-360"/>
        <w:spacing/>
      </w:pPr>
      <w:rPr>
        <w:rFonts w:ascii="Wingdings" w:hAnsi="Wingdings" w:eastAsia="Wingdings" w:cs="Wingdings"/>
      </w:rPr>
    </w:lvl>
  </w:abstractNum>
  <w:abstractNum w:abstractNumId="9">
    <w:lvl w:ilvl="0">
      <w:start w:val="1"/>
      <w:numFmt w:val="bullet"/>
      <w:lvlText w:val=""/>
      <w:suff w:val="tab"/>
      <w:pPr>
        <w:ind w:left="360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08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180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52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24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396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468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40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120" w:firstLine="-360"/>
        <w:spacing/>
      </w:pPr>
      <w:rPr>
        <w:rFonts w:ascii="Wingdings" w:hAnsi="Wingdings" w:eastAsia="Wingdings" w:cs="Wingdings"/>
      </w:rPr>
    </w:lvl>
  </w:abstractNum>
  <w:abstractNum w:abstractNumId="10">
    <w:lvl w:ilvl="0">
      <w:start w:val="1"/>
      <w:numFmt w:val="bullet"/>
      <w:lvlText w:val=""/>
      <w:suff w:val="tab"/>
      <w:pPr>
        <w:ind w:left="720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 w:firstLine="-360"/>
        <w:spacing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w="http://schemas.openxmlformats.org/wordprocessingml/2006/main">
  <w:zoom w:percent="100"/>
  <w:proofState w:grammar="clean" w:spelling="clean"/>
  <w:defaultTabStop w:val="708"/>
  <w:compat>
    <w:adjustLineHeightInTable/>
    <w:splitPgBreakAndParaMark/>
  </w:compat>
</w:settings>
</file>

<file path=word/styles.xml><?xml version="1.0" encoding="utf-8"?>
<w:styles xmlns:w="http://schemas.openxmlformats.org/wordprocessingml/2006/main" xmlns:w10="urn:schemas-microsoft-com:office:word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pic="http://schemas.openxmlformats.org/drawingml/2006/picture">
  <w:docDefaults>
    <w:rPrDefault>
      <w:rPr>
        <w:sz w:val="22"/>
        <w:szCs w:val="22"/>
        <w:rFonts w:ascii="Calibri" w:hAnsi="Calibri" w:eastAsia="Calibri" w:cs="Calibri"/>
        <w:lang w:val="nb-NO" w:eastAsia="ar-SA"/>
      </w:rPr>
    </w:rPrDefault>
    <w:pPrDefault>
      <w:pPr>
        <w:spacing w:after="200" w:line="276" w:lineRule="auto"/>
      </w:pPr>
    </w:pPrDefault>
  </w:docDefaults>
  <w:style w:type="numbering" w:default="1" w:styleId="NoList">
    <w:name w:val="No List"/>
    <w:uiPriority w:val="99"/>
    <w:semiHidden/>
    <w:unhideWhenUsed/>
  </w:style>
  <w:style w:type="paragraph" w:default="1" w:styleId="Normal">
    <w:name w:val="Normal"/>
    <w:qFormat/>
    <w:pPr>
      <w:spacing/>
    </w:pPr>
    <w:rPr/>
  </w:style>
  <w:style w:type="paragraph" w:styleId="Overskrift1">
    <w:name w:val="Heading 1"/>
    <w:qFormat/>
    <w:basedOn w:val="Normal"/>
    <w:link w:val="Overskrift1Tegn"/>
    <w:numPr>
      <w:ilvl w:val="0"/>
      <w:numId w:val="7"/>
    </w:numPr>
    <w:pPr>
      <w:keepLines/>
      <w:outlineLvl w:val="0"/>
      <w:keepNext/>
      <w:spacing w:before="480" w:after="0"/>
    </w:pPr>
    <w:rPr>
      <w:sz w:val="28"/>
      <w:szCs w:val="28"/>
      <w:rFonts w:ascii="Cambria" w:hAnsi="Cambria" w:eastAsia="Cambria" w:cs="Cambria"/>
      <w:b/>
      <w:bCs/>
      <w:color w:val="365F91"/>
    </w:rPr>
  </w:style>
  <w:style w:type="paragraph" w:styleId="Overskrift2">
    <w:name w:val="Heading 2"/>
    <w:qFormat/>
    <w:basedOn w:val="Normal"/>
    <w:link w:val="Overskrift2Tegn"/>
    <w:semiHidden/>
    <w:unhideWhenUsed/>
    <w:numPr>
      <w:ilvl w:val="1"/>
      <w:numId w:val="7"/>
    </w:numPr>
    <w:pPr>
      <w:keepLines/>
      <w:outlineLvl w:val="1"/>
      <w:keepNext/>
      <w:spacing w:before="200" w:after="0"/>
    </w:pPr>
    <w:rPr>
      <w:sz w:val="26"/>
      <w:szCs w:val="26"/>
      <w:rFonts w:ascii="Cambria" w:hAnsi="Cambria" w:eastAsia="Cambria" w:cs="Cambria"/>
      <w:b/>
      <w:bCs/>
      <w:color w:val="4F81BD"/>
    </w:rPr>
  </w:style>
  <w:style w:type="paragraph" w:styleId="Overskrift3">
    <w:name w:val="Heading 3"/>
    <w:qFormat/>
    <w:basedOn w:val="Normal"/>
    <w:link w:val="Overskrift3Tegn"/>
    <w:semiHidden/>
    <w:unhideWhenUsed/>
    <w:numPr>
      <w:ilvl w:val="2"/>
      <w:numId w:val="7"/>
    </w:numPr>
    <w:pPr>
      <w:keepLines/>
      <w:outlineLvl w:val="2"/>
      <w:keepNext/>
      <w:spacing w:before="200" w:after="0"/>
    </w:pPr>
    <w:rPr>
      <w:rFonts w:ascii="Cambria" w:hAnsi="Cambria" w:eastAsia="Cambria" w:cs="Cambria"/>
      <w:b/>
      <w:bCs/>
      <w:color w:val="4F81BD"/>
    </w:rPr>
  </w:style>
  <w:style w:type="paragraph" w:styleId="Overskrift4">
    <w:name w:val="Heading 4"/>
    <w:qFormat/>
    <w:basedOn w:val="Normal"/>
    <w:link w:val="Overskrift4Tegn"/>
    <w:semiHidden/>
    <w:unhideWhenUsed/>
    <w:numPr>
      <w:ilvl w:val="3"/>
      <w:numId w:val="7"/>
    </w:numPr>
    <w:pPr>
      <w:keepLines/>
      <w:outlineLvl w:val="3"/>
      <w:keepNext/>
      <w:spacing w:before="200" w:after="0"/>
    </w:pPr>
    <w:rPr>
      <w:rFonts w:ascii="Cambria" w:hAnsi="Cambria" w:eastAsia="Cambria" w:cs="Cambria"/>
      <w:i/>
      <w:iCs/>
      <w:b/>
      <w:bCs/>
      <w:color w:val="4F81BD"/>
    </w:rPr>
  </w:style>
  <w:style w:type="paragraph" w:styleId="Overskrift5">
    <w:name w:val="Heading 5"/>
    <w:qFormat/>
    <w:basedOn w:val="Normal"/>
    <w:link w:val="Overskrift5Tegn"/>
    <w:semiHidden/>
    <w:unhideWhenUsed/>
    <w:numPr>
      <w:ilvl w:val="4"/>
      <w:numId w:val="7"/>
    </w:numPr>
    <w:pPr>
      <w:keepLines/>
      <w:outlineLvl w:val="4"/>
      <w:keepNext/>
      <w:spacing w:before="200" w:after="0"/>
    </w:pPr>
    <w:rPr>
      <w:rFonts w:ascii="Cambria" w:hAnsi="Cambria" w:eastAsia="Cambria" w:cs="Cambria"/>
      <w:color w:val="243F60"/>
    </w:rPr>
  </w:style>
  <w:style w:type="paragraph" w:styleId="Overskrift6">
    <w:name w:val="Heading 6"/>
    <w:qFormat/>
    <w:basedOn w:val="Normal"/>
    <w:link w:val="Overskrift6Tegn"/>
    <w:semiHidden/>
    <w:unhideWhenUsed/>
    <w:numPr>
      <w:ilvl w:val="5"/>
      <w:numId w:val="7"/>
    </w:numPr>
    <w:pPr>
      <w:keepLines/>
      <w:outlineLvl w:val="5"/>
      <w:keepNext/>
      <w:spacing w:before="200" w:after="0"/>
    </w:pPr>
    <w:rPr>
      <w:rFonts w:ascii="Cambria" w:hAnsi="Cambria" w:eastAsia="Cambria" w:cs="Cambria"/>
      <w:i/>
      <w:iCs/>
      <w:color w:val="243F60"/>
    </w:rPr>
  </w:style>
  <w:style w:type="paragraph" w:styleId="Overskrift7">
    <w:name w:val="Heading 7"/>
    <w:qFormat/>
    <w:basedOn w:val="Normal"/>
    <w:link w:val="Overskrift7Tegn"/>
    <w:semiHidden/>
    <w:unhideWhenUsed/>
    <w:numPr>
      <w:ilvl w:val="6"/>
      <w:numId w:val="7"/>
    </w:numPr>
    <w:pPr>
      <w:keepLines/>
      <w:outlineLvl w:val="6"/>
      <w:keepNext/>
      <w:spacing w:before="200" w:after="0"/>
    </w:pPr>
    <w:rPr>
      <w:rFonts w:ascii="Cambria" w:hAnsi="Cambria" w:eastAsia="Cambria" w:cs="Cambria"/>
      <w:i/>
      <w:iCs/>
      <w:color w:val="404040"/>
    </w:rPr>
  </w:style>
  <w:style w:type="paragraph" w:styleId="Overskrift8">
    <w:name w:val="Heading 8"/>
    <w:qFormat/>
    <w:basedOn w:val="Normal"/>
    <w:link w:val="Overskrift8Tegn"/>
    <w:semiHidden/>
    <w:unhideWhenUsed/>
    <w:numPr>
      <w:ilvl w:val="7"/>
      <w:numId w:val="7"/>
    </w:numPr>
    <w:pPr>
      <w:keepLines/>
      <w:outlineLvl w:val="7"/>
      <w:keepNext/>
      <w:spacing w:before="200" w:after="0"/>
    </w:pPr>
    <w:rPr>
      <w:sz w:val="20"/>
      <w:szCs w:val="20"/>
      <w:rFonts w:ascii="Cambria" w:hAnsi="Cambria" w:eastAsia="Cambria" w:cs="Cambria"/>
      <w:color w:val="404040"/>
    </w:rPr>
  </w:style>
  <w:style w:type="paragraph" w:styleId="Overskrift9">
    <w:name w:val="Heading 9"/>
    <w:qFormat/>
    <w:basedOn w:val="Normal"/>
    <w:link w:val="Overskrift9Tegn"/>
    <w:semiHidden/>
    <w:unhideWhenUsed/>
    <w:numPr>
      <w:ilvl w:val="8"/>
      <w:numId w:val="7"/>
    </w:numPr>
    <w:pPr>
      <w:keepLines/>
      <w:outlineLvl w:val="8"/>
      <w:keepNext/>
      <w:spacing w:before="200" w:after="0"/>
    </w:pPr>
    <w:rPr>
      <w:sz w:val="20"/>
      <w:szCs w:val="20"/>
      <w:rFonts w:ascii="Cambria" w:hAnsi="Cambria" w:eastAsia="Cambria" w:cs="Cambria"/>
      <w:i/>
      <w:iCs/>
      <w:color w:val="404040"/>
    </w:rPr>
  </w:style>
  <w:style w:type="character" w:default="1" w:styleId="Standardskriftforavsnitt">
    <w:name w:val="Default Paragraph Font"/>
    <w:semiHidden/>
    <w:unhideWhenUsed/>
    <w:rPr/>
  </w:style>
  <w:style w:type="table" w:default="1" w:styleId="Vanligtabel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="1" w:styleId="Overskrift1Tegn">
    <w:name w:val="Overskrift 1 Tegn"/>
    <w:basedOn w:val="Standardskriftforavsnitt"/>
    <w:link w:val="Heading1"/>
    <w:rPr>
      <w:sz w:val="28"/>
      <w:szCs w:val="28"/>
      <w:rFonts w:ascii="Cambria" w:hAnsi="Cambria" w:eastAsia="Cambria" w:cs="Cambria"/>
      <w:b/>
      <w:bCs/>
      <w:color w:val="365F91"/>
    </w:rPr>
  </w:style>
  <w:style w:type="paragraph" w:styleId="Topptekst">
    <w:name w:val="Header"/>
    <w:basedOn w:val="Normal"/>
    <w:link w:val="TopptekstTegn"/>
    <w:unhideWhenUsed/>
    <w:pPr>
      <w:tabs>
        <w:tab w:pos="4536" w:val="center"/>
        <w:tab w:pos="9072" w:val="right"/>
      </w:tabs>
      <w:spacing w:after="0" w:line="240" w:lineRule="auto"/>
    </w:pPr>
    <w:rPr/>
  </w:style>
  <w:style w:type="character" w:custom="1" w:styleId="TopptekstTegn">
    <w:name w:val="Topptekst Tegn"/>
    <w:basedOn w:val="Standardskriftforavsnitt"/>
    <w:link w:val="Header"/>
    <w:rPr/>
  </w:style>
  <w:style w:type="paragraph" w:styleId="Bunntekst">
    <w:name w:val="Footer"/>
    <w:basedOn w:val="Normal"/>
    <w:link w:val="BunntekstTegn"/>
    <w:unhideWhenUsed/>
    <w:pPr>
      <w:tabs>
        <w:tab w:pos="4536" w:val="center"/>
        <w:tab w:pos="9072" w:val="right"/>
      </w:tabs>
      <w:spacing w:after="0" w:line="240" w:lineRule="auto"/>
    </w:pPr>
    <w:rPr/>
  </w:style>
  <w:style w:type="character" w:custom="1" w:styleId="BunntekstTegn">
    <w:name w:val="Bunntekst Tegn"/>
    <w:basedOn w:val="Standardskriftforavsnitt"/>
    <w:link w:val="Footer"/>
    <w:rPr/>
  </w:style>
  <w:style w:type="paragraph" w:styleId="Bobletekst">
    <w:name w:val="Balloon Text"/>
    <w:basedOn w:val="Normal"/>
    <w:link w:val="BobletekstTegn"/>
    <w:semiHidden/>
    <w:unhideWhenUsed/>
    <w:pPr>
      <w:spacing w:after="0" w:line="240" w:lineRule="auto"/>
    </w:pPr>
    <w:rPr>
      <w:sz w:val="16"/>
      <w:szCs w:val="16"/>
      <w:rFonts w:ascii="Tahoma" w:hAnsi="Tahoma" w:eastAsia="Tahoma" w:cs="Tahoma"/>
    </w:rPr>
  </w:style>
  <w:style w:type="character" w:custom="1" w:styleId="BobletekstTegn">
    <w:name w:val="Bobletekst Tegn"/>
    <w:basedOn w:val="Standardskriftforavsnitt"/>
    <w:link w:val="BalloonText"/>
    <w:semiHidden/>
    <w:rPr>
      <w:sz w:val="16"/>
      <w:szCs w:val="16"/>
      <w:rFonts w:ascii="Tahoma" w:hAnsi="Tahoma" w:eastAsia="Tahoma" w:cs="Tahoma"/>
    </w:rPr>
  </w:style>
  <w:style w:type="table" w:styleId="Tabellrutenett">
    <w:name w:val="Table Grid"/>
    <w:rPr>
      <w:rFonts w:ascii="Calibri" w:hAnsi="Calibri" w:eastAsia="Calibri" w:cs="Calibri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="1" w:styleId="Listeavsnitt">
    <w:name w:val="List Paragraph"/>
    <w:qFormat/>
    <w:basedOn w:val="Normal"/>
    <w:pPr>
      <w:ind w:left="720"/>
      <w:contextualSpacing/>
      <w:spacing/>
    </w:pPr>
    <w:rPr/>
  </w:style>
  <w:style w:type="character" w:custom="1" w:styleId="Overskrift2Tegn">
    <w:name w:val="Overskrift 2 Tegn"/>
    <w:basedOn w:val="Standardskriftforavsnitt"/>
    <w:link w:val="Heading2"/>
    <w:semiHidden/>
    <w:rPr>
      <w:sz w:val="26"/>
      <w:szCs w:val="26"/>
      <w:rFonts w:ascii="Cambria" w:hAnsi="Cambria" w:eastAsia="Cambria" w:cs="Cambria"/>
      <w:b/>
      <w:bCs/>
      <w:color w:val="4F81BD"/>
    </w:rPr>
  </w:style>
  <w:style w:type="character" w:custom="1" w:styleId="Overskrift3Tegn">
    <w:name w:val="Overskrift 3 Tegn"/>
    <w:basedOn w:val="Standardskriftforavsnitt"/>
    <w:link w:val="Heading3"/>
    <w:semiHidden/>
    <w:rPr>
      <w:rFonts w:ascii="Cambria" w:hAnsi="Cambria" w:eastAsia="Cambria" w:cs="Cambria"/>
      <w:b/>
      <w:bCs/>
      <w:color w:val="4F81BD"/>
    </w:rPr>
  </w:style>
  <w:style w:type="character" w:custom="1" w:styleId="Overskrift4Tegn">
    <w:name w:val="Overskrift 4 Tegn"/>
    <w:basedOn w:val="Standardskriftforavsnitt"/>
    <w:link w:val="Heading4"/>
    <w:semiHidden/>
    <w:rPr>
      <w:rFonts w:ascii="Cambria" w:hAnsi="Cambria" w:eastAsia="Cambria" w:cs="Cambria"/>
      <w:i/>
      <w:iCs/>
      <w:b/>
      <w:bCs/>
      <w:color w:val="4F81BD"/>
    </w:rPr>
  </w:style>
  <w:style w:type="character" w:custom="1" w:styleId="Overskrift5Tegn">
    <w:name w:val="Overskrift 5 Tegn"/>
    <w:basedOn w:val="Standardskriftforavsnitt"/>
    <w:link w:val="Heading5"/>
    <w:semiHidden/>
    <w:rPr>
      <w:rFonts w:ascii="Cambria" w:hAnsi="Cambria" w:eastAsia="Cambria" w:cs="Cambria"/>
      <w:color w:val="243F60"/>
    </w:rPr>
  </w:style>
  <w:style w:type="character" w:custom="1" w:styleId="Overskrift6Tegn">
    <w:name w:val="Overskrift 6 Tegn"/>
    <w:basedOn w:val="Standardskriftforavsnitt"/>
    <w:link w:val="Heading6"/>
    <w:semiHidden/>
    <w:rPr>
      <w:rFonts w:ascii="Cambria" w:hAnsi="Cambria" w:eastAsia="Cambria" w:cs="Cambria"/>
      <w:i/>
      <w:iCs/>
      <w:color w:val="243F60"/>
    </w:rPr>
  </w:style>
  <w:style w:type="character" w:custom="1" w:styleId="Overskrift7Tegn">
    <w:name w:val="Overskrift 7 Tegn"/>
    <w:basedOn w:val="Standardskriftforavsnitt"/>
    <w:link w:val="Heading7"/>
    <w:semiHidden/>
    <w:rPr>
      <w:rFonts w:ascii="Cambria" w:hAnsi="Cambria" w:eastAsia="Cambria" w:cs="Cambria"/>
      <w:i/>
      <w:iCs/>
      <w:color w:val="404040"/>
    </w:rPr>
  </w:style>
  <w:style w:type="character" w:custom="1" w:styleId="Overskrift8Tegn">
    <w:name w:val="Overskrift 8 Tegn"/>
    <w:basedOn w:val="Standardskriftforavsnitt"/>
    <w:link w:val="Heading8"/>
    <w:semiHidden/>
    <w:rPr>
      <w:sz w:val="20"/>
      <w:szCs w:val="20"/>
      <w:rFonts w:ascii="Cambria" w:hAnsi="Cambria" w:eastAsia="Cambria" w:cs="Cambria"/>
      <w:color w:val="404040"/>
    </w:rPr>
  </w:style>
  <w:style w:type="character" w:custom="1" w:styleId="Overskrift9Tegn">
    <w:name w:val="Overskrift 9 Tegn"/>
    <w:basedOn w:val="Standardskriftforavsnitt"/>
    <w:link w:val="Heading9"/>
    <w:semiHidden/>
    <w:rPr>
      <w:sz w:val="20"/>
      <w:szCs w:val="20"/>
      <w:rFonts w:ascii="Cambria" w:hAnsi="Cambria" w:eastAsia="Cambria" w:cs="Cambria"/>
      <w:i/>
      <w:iCs/>
      <w:color w:val="404040"/>
    </w:rPr>
  </w:style>
  <w:style w:type="paragraph" w:styleId="Brdtekst">
    <w:name w:val="Body Text"/>
    <w:basedOn w:val="Normal"/>
    <w:link w:val="BrødtekstTegn"/>
    <w:semiHidden/>
    <w:pPr>
      <w:spacing w:before="499" w:after="0" w:line="230" w:lineRule="exact"/>
      <w:autoSpaceDE w:val="false"/>
      <w:autoSpaceDN w:val="false"/>
      <w:adjustRightInd w:val="false"/>
    </w:pPr>
    <w:rPr>
      <w:sz w:val="24"/>
      <w:szCs w:val="20"/>
      <w:rFonts w:ascii="Times New Roman" w:hAnsi="Times New Roman" w:eastAsia="Times New Roman" w:cs="Times New Roman"/>
      <w:lang w:eastAsia="nb-NO"/>
    </w:rPr>
  </w:style>
  <w:style w:type="character" w:custom="1" w:styleId="BrdtekstTegn">
    <w:name w:val="Brødtekst Tegn"/>
    <w:basedOn w:val="Standardskriftforavsnitt"/>
    <w:link w:val="BodyText"/>
    <w:semiHidden/>
    <w:rPr>
      <w:sz w:val="24"/>
      <w:szCs w:val="20"/>
      <w:rFonts w:ascii="Times New Roman" w:hAnsi="Times New Roman" w:eastAsia="Times New Roman" w:cs="Times New Roman"/>
      <w:lang w:eastAsia="nb-NO"/>
    </w:rPr>
  </w:style>
</w:styles>
</file>

<file path=word/_rels/document.xml.rels>&#65279;<?xml version="1.0" encoding="UTF-8" standalone="yes"?><Relationships xmlns="http://schemas.openxmlformats.org/package/2006/relationships"><Relationship Type="http://schemas.openxmlformats.org/officeDocument/2006/relationships/styles" Target="styles.xml" Id="rId7" /><Relationship Type="http://schemas.openxmlformats.org/officeDocument/2006/relationships/settings" Target="settings.xml" Id="rId8" /><Relationship Type="http://schemas.openxmlformats.org/officeDocument/2006/relationships/numbering" Target="numbering.xml" Id="rId9" /><Relationship Type="http://schemas.openxmlformats.org/officeDocument/2006/relationships/footer" Target="footer2.xml" Id="rId2" /><Relationship Type="http://schemas.openxmlformats.org/officeDocument/2006/relationships/header" Target="header1.xml" Id="rId1" /><Relationship Type="http://schemas.openxmlformats.org/officeDocument/2006/relationships/customXml" Target="../customXml/item1.xml" Id="rId10" /></Relationships>
</file>

<file path=word/_rels/header1.xml.rels>&#65279;<Relationships xmlns="http://schemas.openxmlformats.org/package/2006/relationships"><Relationship Type="http://schemas.openxmlformats.org/officeDocument/2006/relationships/image" Target="media/image3.jpeg" Id="rId3" 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DACD3-1DC7-43DE-B6E6-119D097857E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9D805F61</Template>
  <TotalTime>59</TotalTime>
  <Pages>1</Pages>
  <Words>226</Words>
  <Characters>1199</Characters>
  <Application>Microsoft Office Word</Application>
  <DocSecurity>0</DocSecurity>
  <Lines>9</Lines>
  <Paragraphs>2</Paragraphs>
  <Company>Digitale Gardermoen IKS</Compan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Toril Borgen Tonhaugen</dc:creator>
  <cp:lastModifiedBy>Toril Borgen Tonhaugen</cp:lastModifiedBy>
  <cp:revision>24</cp:revision>
  <dcterms:created xsi:type="dcterms:W3CDTF">2012-11-08T12:06:00Z</dcterms:created>
  <dcterms:modified xsi:type="dcterms:W3CDTF">2013-01-16T15:22:00Z</dcterms:modified>
</cp:coreProperties>
</file>